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A7F24" w14:textId="77777777" w:rsidR="00731014" w:rsidRPr="00C0681C" w:rsidRDefault="00731014" w:rsidP="007A00E3">
      <w:pPr>
        <w:pStyle w:val="Title"/>
        <w:jc w:val="center"/>
        <w:rPr>
          <w:sz w:val="32"/>
          <w:szCs w:val="32"/>
        </w:rPr>
      </w:pPr>
      <w:bookmarkStart w:id="0" w:name="_GoBack"/>
      <w:bookmarkEnd w:id="0"/>
      <w:r w:rsidRPr="00C0681C">
        <w:rPr>
          <w:noProof/>
          <w:lang w:eastAsia="lv-LV"/>
        </w:rPr>
        <w:drawing>
          <wp:inline distT="0" distB="0" distL="0" distR="0" wp14:anchorId="521C2888" wp14:editId="1D4BDC0D">
            <wp:extent cx="2257425" cy="1475768"/>
            <wp:effectExtent l="0" t="0" r="0" b="0"/>
            <wp:docPr id="2" name="Picture 2" descr="http://news.ast.lv/images/Stila_gramata/ast-logo-red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ews.ast.lv/images/Stila_gramata/ast-logo-red-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160" cy="1475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9C7120" w14:textId="77777777" w:rsidR="00731014" w:rsidRPr="00C0681C" w:rsidRDefault="00731014" w:rsidP="00731014">
      <w:pPr>
        <w:pStyle w:val="Title"/>
        <w:rPr>
          <w:sz w:val="32"/>
          <w:szCs w:val="32"/>
        </w:rPr>
      </w:pPr>
    </w:p>
    <w:p w14:paraId="1CACCBCB" w14:textId="77777777" w:rsidR="00731014" w:rsidRPr="00C0681C" w:rsidRDefault="00731014" w:rsidP="00731014">
      <w:pPr>
        <w:pStyle w:val="Title"/>
        <w:rPr>
          <w:sz w:val="32"/>
          <w:szCs w:val="32"/>
        </w:rPr>
      </w:pPr>
    </w:p>
    <w:p w14:paraId="2C12E531" w14:textId="77777777" w:rsidR="00731014" w:rsidRPr="00C0681C" w:rsidRDefault="007A00E3" w:rsidP="007A00E3">
      <w:pPr>
        <w:pStyle w:val="Title"/>
        <w:jc w:val="center"/>
      </w:pPr>
      <w:r w:rsidRPr="00C0681C">
        <w:rPr>
          <w:bCs/>
        </w:rPr>
        <w:t>Tīkla pieslēguma prasības elektroenerģijas pārvades sistēmas lietotājiem</w:t>
      </w:r>
    </w:p>
    <w:p w14:paraId="6BEF5659" w14:textId="77777777" w:rsidR="00731014" w:rsidRPr="00C0681C" w:rsidRDefault="00731014" w:rsidP="00731014">
      <w:pPr>
        <w:spacing w:after="200" w:line="276" w:lineRule="auto"/>
        <w:ind w:firstLine="567"/>
        <w:rPr>
          <w:szCs w:val="24"/>
        </w:rPr>
      </w:pPr>
    </w:p>
    <w:p w14:paraId="57D09475" w14:textId="77777777" w:rsidR="00731014" w:rsidRPr="00C0681C" w:rsidRDefault="00731014" w:rsidP="00731014">
      <w:pPr>
        <w:spacing w:after="200" w:line="276" w:lineRule="auto"/>
        <w:ind w:firstLine="567"/>
        <w:rPr>
          <w:szCs w:val="24"/>
        </w:rPr>
      </w:pPr>
    </w:p>
    <w:p w14:paraId="77DC3D91" w14:textId="77777777" w:rsidR="00731014" w:rsidRPr="00C0681C" w:rsidRDefault="00731014" w:rsidP="007A00E3">
      <w:pPr>
        <w:spacing w:after="200" w:line="276" w:lineRule="auto"/>
        <w:ind w:firstLine="567"/>
        <w:rPr>
          <w:rFonts w:cs="Times New Roman"/>
          <w:szCs w:val="24"/>
        </w:rPr>
      </w:pPr>
      <w:r w:rsidRPr="00C0681C">
        <w:rPr>
          <w:szCs w:val="24"/>
        </w:rPr>
        <w:t xml:space="preserve">AS “Augstsprieguma tīkls” priekšlikums vispārpiemērojamām prasībām </w:t>
      </w:r>
      <w:r w:rsidR="007A00E3" w:rsidRPr="00C0681C">
        <w:rPr>
          <w:szCs w:val="24"/>
        </w:rPr>
        <w:t>elektroenerģijas pārvades sistēmas lietotājiem</w:t>
      </w:r>
      <w:r w:rsidRPr="00C0681C">
        <w:rPr>
          <w:szCs w:val="24"/>
        </w:rPr>
        <w:t xml:space="preserve"> saskaņā ar </w:t>
      </w:r>
      <w:r w:rsidRPr="00C0681C">
        <w:rPr>
          <w:rFonts w:cs="Times New Roman"/>
          <w:szCs w:val="24"/>
        </w:rPr>
        <w:t>Regulas 2016/</w:t>
      </w:r>
      <w:r w:rsidR="007A00E3" w:rsidRPr="00C0681C">
        <w:rPr>
          <w:rFonts w:cs="Times New Roman"/>
          <w:szCs w:val="24"/>
        </w:rPr>
        <w:t>1388</w:t>
      </w:r>
      <w:r w:rsidRPr="00C0681C">
        <w:rPr>
          <w:rFonts w:cs="Times New Roman"/>
          <w:szCs w:val="24"/>
        </w:rPr>
        <w:t xml:space="preserve"> </w:t>
      </w:r>
      <w:r w:rsidR="007A00E3" w:rsidRPr="00C0681C">
        <w:rPr>
          <w:rFonts w:cs="Times New Roman"/>
          <w:szCs w:val="24"/>
        </w:rPr>
        <w:t>6</w:t>
      </w:r>
      <w:r w:rsidRPr="00C0681C">
        <w:rPr>
          <w:rFonts w:cs="Times New Roman"/>
          <w:szCs w:val="24"/>
        </w:rPr>
        <w:t xml:space="preserve">.panta 1.punktu. </w:t>
      </w:r>
      <w:proofErr w:type="spellStart"/>
      <w:r w:rsidRPr="00C0681C">
        <w:rPr>
          <w:rFonts w:cs="Times New Roman"/>
          <w:szCs w:val="24"/>
        </w:rPr>
        <w:t>Vispārpiemērojamās</w:t>
      </w:r>
      <w:proofErr w:type="spellEnd"/>
      <w:r w:rsidRPr="00C0681C">
        <w:rPr>
          <w:rFonts w:cs="Times New Roman"/>
          <w:szCs w:val="24"/>
        </w:rPr>
        <w:t xml:space="preserve"> prasības pēc sabiedriskās apspriešanas tiks iesniegtas Sabiedrisko pakalpojumu regulēšanas komisijai apstiprināšanai.</w:t>
      </w:r>
    </w:p>
    <w:p w14:paraId="5732E78C" w14:textId="51CFD60D" w:rsidR="00731014" w:rsidRPr="00C0681C" w:rsidRDefault="00731014" w:rsidP="00731014">
      <w:pPr>
        <w:spacing w:after="200" w:line="276" w:lineRule="auto"/>
        <w:ind w:firstLine="567"/>
        <w:jc w:val="right"/>
        <w:rPr>
          <w:rFonts w:cs="Times New Roman"/>
          <w:szCs w:val="24"/>
        </w:rPr>
      </w:pPr>
      <w:r w:rsidRPr="00C0681C">
        <w:rPr>
          <w:rFonts w:cs="Times New Roman"/>
          <w:szCs w:val="24"/>
        </w:rPr>
        <w:t xml:space="preserve">2018.gada </w:t>
      </w:r>
      <w:r w:rsidR="00501844" w:rsidRPr="00C0681C">
        <w:rPr>
          <w:rFonts w:cs="Times New Roman"/>
          <w:szCs w:val="24"/>
        </w:rPr>
        <w:t>2</w:t>
      </w:r>
      <w:r w:rsidR="009851DF" w:rsidRPr="00C0681C">
        <w:rPr>
          <w:rFonts w:cs="Times New Roman"/>
          <w:szCs w:val="24"/>
        </w:rPr>
        <w:t>6</w:t>
      </w:r>
      <w:r w:rsidRPr="00C0681C">
        <w:rPr>
          <w:rFonts w:cs="Times New Roman"/>
          <w:szCs w:val="24"/>
        </w:rPr>
        <w:t>.jūlijs</w:t>
      </w:r>
    </w:p>
    <w:p w14:paraId="56E9DA12" w14:textId="77777777" w:rsidR="00731014" w:rsidRPr="00C0681C" w:rsidRDefault="00731014" w:rsidP="00731014">
      <w:pPr>
        <w:spacing w:after="200" w:line="276" w:lineRule="auto"/>
        <w:ind w:firstLine="567"/>
        <w:jc w:val="right"/>
        <w:rPr>
          <w:szCs w:val="24"/>
        </w:rPr>
      </w:pPr>
      <w:r w:rsidRPr="00C0681C">
        <w:rPr>
          <w:szCs w:val="24"/>
        </w:rPr>
        <w:br w:type="page"/>
      </w:r>
    </w:p>
    <w:p w14:paraId="645FDA2D" w14:textId="77777777" w:rsidR="0034174E" w:rsidRPr="00C0681C" w:rsidRDefault="0034174E" w:rsidP="004A723C">
      <w:pPr>
        <w:pStyle w:val="Heading4"/>
      </w:pPr>
      <w:r w:rsidRPr="00C0681C">
        <w:lastRenderedPageBreak/>
        <w:t>Vispārīgie jautājumi</w:t>
      </w:r>
    </w:p>
    <w:p w14:paraId="4C41D0EE" w14:textId="77777777" w:rsidR="00E16199" w:rsidRPr="00C0681C" w:rsidRDefault="00E16199" w:rsidP="007A00E3">
      <w:pPr>
        <w:pStyle w:val="ApakApakpunkti"/>
      </w:pPr>
      <w:r w:rsidRPr="00C0681C">
        <w:t>Dokuments ir sastādīts saskaņā ar Komisijas 2016. gada 17. augusta Regulas 2016/1388 ar ko izveido tīkla kodeksu par pieprasījuma pieslēgumu, (turpmāk tekstā – Regula 2016/1388) 6.panta 1.punktu.</w:t>
      </w:r>
    </w:p>
    <w:p w14:paraId="13F91979" w14:textId="3E03BEC3" w:rsidR="0034174E" w:rsidRPr="00C0681C" w:rsidRDefault="0034174E" w:rsidP="007A00E3">
      <w:pPr>
        <w:pStyle w:val="ApakApakpunkti"/>
      </w:pPr>
      <w:r w:rsidRPr="00C0681C">
        <w:t>Dokumentā pārvades sistēmas operators (turpmāk tekstā - PSO), koordinējotie</w:t>
      </w:r>
      <w:r w:rsidR="00560590" w:rsidRPr="00C0681C">
        <w:t>s ar sadales sistēmas operatoru</w:t>
      </w:r>
      <w:r w:rsidRPr="00C0681C">
        <w:t xml:space="preserve"> (</w:t>
      </w:r>
      <w:r w:rsidR="00560590" w:rsidRPr="00C0681C">
        <w:t>AS "Sadales tīkls"</w:t>
      </w:r>
      <w:r w:rsidRPr="00C0681C">
        <w:t xml:space="preserve">) un citu valstu PSO ir noteicis prasības </w:t>
      </w:r>
      <w:r w:rsidR="00B643FD" w:rsidRPr="00C0681C">
        <w:t xml:space="preserve">pārvades sistēmai pieslēgtām </w:t>
      </w:r>
      <w:proofErr w:type="spellStart"/>
      <w:r w:rsidRPr="00C0681C">
        <w:t>pieprasījumietaisēm</w:t>
      </w:r>
      <w:proofErr w:type="spellEnd"/>
      <w:r w:rsidR="00B643FD" w:rsidRPr="00C0681C">
        <w:t xml:space="preserve">, pārvades sistēmai pieslēgtām sadales ietaisēm, sadales sistēmām un </w:t>
      </w:r>
      <w:proofErr w:type="spellStart"/>
      <w:r w:rsidR="00B643FD" w:rsidRPr="00C0681C">
        <w:t>pieprasījumvienībām</w:t>
      </w:r>
      <w:proofErr w:type="spellEnd"/>
      <w:r w:rsidR="00B643FD" w:rsidRPr="00C0681C">
        <w:t xml:space="preserve"> </w:t>
      </w:r>
      <w:r w:rsidR="009073AC" w:rsidRPr="00C0681C">
        <w:t>saskaņā ar Regulu 2016/1388.</w:t>
      </w:r>
    </w:p>
    <w:p w14:paraId="5652F6B8" w14:textId="0C4A83F4" w:rsidR="0034174E" w:rsidRPr="00C0681C" w:rsidRDefault="0034174E" w:rsidP="007A00E3">
      <w:pPr>
        <w:pStyle w:val="ApakApakpunkti"/>
      </w:pPr>
      <w:r w:rsidRPr="00C0681C">
        <w:t xml:space="preserve">Šajā </w:t>
      </w:r>
      <w:r w:rsidR="00A762E3" w:rsidRPr="00C0681C">
        <w:t>D</w:t>
      </w:r>
      <w:r w:rsidRPr="00C0681C">
        <w:t xml:space="preserve">okumentā minētās prasības piemēro elektroenerģijas </w:t>
      </w:r>
      <w:proofErr w:type="spellStart"/>
      <w:r w:rsidR="003A0876" w:rsidRPr="00C0681C">
        <w:t>pieprasījumietaisēm</w:t>
      </w:r>
      <w:proofErr w:type="spellEnd"/>
      <w:r w:rsidR="00E031B8" w:rsidRPr="00C0681C">
        <w:t xml:space="preserve"> </w:t>
      </w:r>
      <w:r w:rsidRPr="00C0681C">
        <w:t>atbilstoši Regulas 2016/1388 3.</w:t>
      </w:r>
      <w:r w:rsidR="006F0ECC" w:rsidRPr="00C0681C">
        <w:t>, 4., 5. un</w:t>
      </w:r>
      <w:r w:rsidRPr="00C0681C">
        <w:t>59. pantam.</w:t>
      </w:r>
    </w:p>
    <w:p w14:paraId="47CFE0C9" w14:textId="3388D116" w:rsidR="0034174E" w:rsidRPr="00C0681C" w:rsidRDefault="0034174E" w:rsidP="007A00E3">
      <w:pPr>
        <w:pStyle w:val="ApakApakpunkti"/>
      </w:pPr>
      <w:r w:rsidRPr="00C0681C">
        <w:t xml:space="preserve">Šajā </w:t>
      </w:r>
      <w:r w:rsidR="00A762E3" w:rsidRPr="00C0681C">
        <w:t>D</w:t>
      </w:r>
      <w:r w:rsidRPr="00C0681C">
        <w:t xml:space="preserve">okumentā </w:t>
      </w:r>
      <w:r w:rsidR="00F63F5F" w:rsidRPr="00C0681C">
        <w:t xml:space="preserve">minētās </w:t>
      </w:r>
      <w:r w:rsidRPr="00C0681C">
        <w:t>prasības piemērojamas, ievērojot Regulu 2016/1388.</w:t>
      </w:r>
    </w:p>
    <w:p w14:paraId="0CEF6719" w14:textId="77777777" w:rsidR="0034174E" w:rsidRPr="00C0681C" w:rsidRDefault="0034174E" w:rsidP="007A00E3">
      <w:pPr>
        <w:pStyle w:val="ApakApakpunkti"/>
      </w:pPr>
      <w:r w:rsidRPr="00C0681C">
        <w:t>Visas definīcijas un saīsinājumi izmantoti saskaņā ar Regulu 2016/1388.</w:t>
      </w:r>
    </w:p>
    <w:p w14:paraId="5752E905" w14:textId="77777777" w:rsidR="00730B6D" w:rsidRPr="00C0681C" w:rsidRDefault="00730B6D" w:rsidP="00E51A9D"/>
    <w:p w14:paraId="22C254D6" w14:textId="77777777" w:rsidR="00730B6D" w:rsidRPr="00C0681C" w:rsidRDefault="00730B6D" w:rsidP="00E51A9D"/>
    <w:p w14:paraId="143D5E6D" w14:textId="77777777" w:rsidR="00507DA3" w:rsidRPr="00C0681C" w:rsidRDefault="00507DA3" w:rsidP="004A723C">
      <w:pPr>
        <w:pStyle w:val="Heading4"/>
      </w:pPr>
      <w:r w:rsidRPr="00C0681C">
        <w:t>Vispārīgas prasības attiecībā uz frekvenci</w:t>
      </w:r>
    </w:p>
    <w:p w14:paraId="115C366B" w14:textId="77777777" w:rsidR="00507DA3" w:rsidRPr="00C0681C" w:rsidRDefault="00507DA3" w:rsidP="007A00E3">
      <w:pPr>
        <w:pStyle w:val="ApakApakpunkti"/>
      </w:pPr>
      <w:r w:rsidRPr="00C0681C">
        <w:t>Saskaņā ar Regulas 2016/1388</w:t>
      </w:r>
      <w:r w:rsidRPr="00C0681C">
        <w:rPr>
          <w:b/>
        </w:rPr>
        <w:t xml:space="preserve"> 12.panta 1.punktu</w:t>
      </w:r>
      <w:r w:rsidRPr="00C0681C">
        <w:t xml:space="preserve"> pārvades sistēmai pieslēgtām </w:t>
      </w:r>
      <w:proofErr w:type="spellStart"/>
      <w:r w:rsidRPr="00C0681C">
        <w:t>pieprasījumietaisēm</w:t>
      </w:r>
      <w:proofErr w:type="spellEnd"/>
      <w:r w:rsidRPr="00C0681C">
        <w:t>, pārvades sistēmai pieslēgtām sadales ietaisēm un sadales sistēmām</w:t>
      </w:r>
      <w:r w:rsidRPr="00C0681C">
        <w:rPr>
          <w:spacing w:val="-9"/>
        </w:rPr>
        <w:t xml:space="preserve"> </w:t>
      </w:r>
      <w:r w:rsidRPr="00C0681C">
        <w:t>jāspēj</w:t>
      </w:r>
      <w:r w:rsidRPr="00C0681C">
        <w:rPr>
          <w:spacing w:val="-9"/>
        </w:rPr>
        <w:t xml:space="preserve"> </w:t>
      </w:r>
      <w:r w:rsidRPr="00C0681C">
        <w:t>palikt</w:t>
      </w:r>
      <w:r w:rsidRPr="00C0681C">
        <w:rPr>
          <w:spacing w:val="-9"/>
        </w:rPr>
        <w:t xml:space="preserve"> </w:t>
      </w:r>
      <w:r w:rsidRPr="00C0681C">
        <w:t>pieslēgtām</w:t>
      </w:r>
      <w:r w:rsidRPr="00C0681C">
        <w:rPr>
          <w:spacing w:val="-9"/>
        </w:rPr>
        <w:t xml:space="preserve"> </w:t>
      </w:r>
      <w:r w:rsidRPr="00C0681C">
        <w:t>tīklam</w:t>
      </w:r>
      <w:r w:rsidRPr="00C0681C">
        <w:rPr>
          <w:spacing w:val="-9"/>
        </w:rPr>
        <w:t xml:space="preserve"> </w:t>
      </w:r>
      <w:r w:rsidRPr="00C0681C">
        <w:t>un</w:t>
      </w:r>
      <w:r w:rsidRPr="00C0681C">
        <w:rPr>
          <w:spacing w:val="-9"/>
        </w:rPr>
        <w:t xml:space="preserve"> </w:t>
      </w:r>
      <w:r w:rsidRPr="00C0681C">
        <w:t>darboties</w:t>
      </w:r>
      <w:r w:rsidRPr="00C0681C">
        <w:rPr>
          <w:spacing w:val="-9"/>
        </w:rPr>
        <w:t xml:space="preserve"> </w:t>
      </w:r>
      <w:r w:rsidRPr="00C0681C">
        <w:t>frekvences</w:t>
      </w:r>
      <w:r w:rsidRPr="00C0681C">
        <w:rPr>
          <w:spacing w:val="-9"/>
        </w:rPr>
        <w:t xml:space="preserve"> </w:t>
      </w:r>
      <w:r w:rsidRPr="00C0681C">
        <w:t>diapazonos</w:t>
      </w:r>
      <w:r w:rsidRPr="00C0681C">
        <w:rPr>
          <w:spacing w:val="-9"/>
        </w:rPr>
        <w:t xml:space="preserve"> </w:t>
      </w:r>
      <w:r w:rsidRPr="00C0681C">
        <w:t>un</w:t>
      </w:r>
      <w:r w:rsidRPr="00C0681C">
        <w:rPr>
          <w:spacing w:val="-10"/>
        </w:rPr>
        <w:t xml:space="preserve"> </w:t>
      </w:r>
      <w:r w:rsidRPr="00C0681C">
        <w:t>periodos:</w:t>
      </w:r>
    </w:p>
    <w:p w14:paraId="19A070E7" w14:textId="77777777" w:rsidR="0064119A" w:rsidRPr="00C0681C" w:rsidRDefault="00507DA3" w:rsidP="0064119A">
      <w:pPr>
        <w:pStyle w:val="ApakApakpunkti"/>
        <w:numPr>
          <w:ilvl w:val="1"/>
          <w:numId w:val="35"/>
        </w:numPr>
        <w:ind w:left="993" w:hanging="567"/>
      </w:pPr>
      <w:r w:rsidRPr="00C0681C">
        <w:t>47,5–48,5Hz ne īsāk par 30 minūtēm;</w:t>
      </w:r>
    </w:p>
    <w:p w14:paraId="3B181314" w14:textId="77777777" w:rsidR="0064119A" w:rsidRPr="00C0681C" w:rsidRDefault="00507DA3" w:rsidP="0064119A">
      <w:pPr>
        <w:pStyle w:val="ApakApakpunkti"/>
        <w:numPr>
          <w:ilvl w:val="1"/>
          <w:numId w:val="35"/>
        </w:numPr>
        <w:ind w:left="993" w:hanging="567"/>
      </w:pPr>
      <w:r w:rsidRPr="00C0681C">
        <w:t>48,5–49,0Hz ne īsāk par 30 minūtēm;</w:t>
      </w:r>
    </w:p>
    <w:p w14:paraId="25A0B2D8" w14:textId="77777777" w:rsidR="0064119A" w:rsidRPr="00C0681C" w:rsidRDefault="00507DA3" w:rsidP="0064119A">
      <w:pPr>
        <w:pStyle w:val="ApakApakpunkti"/>
        <w:numPr>
          <w:ilvl w:val="1"/>
          <w:numId w:val="35"/>
        </w:numPr>
        <w:ind w:left="993" w:hanging="567"/>
      </w:pPr>
      <w:r w:rsidRPr="00C0681C">
        <w:t>49,0–51,0Hz neierobežots;</w:t>
      </w:r>
    </w:p>
    <w:p w14:paraId="20F9D460" w14:textId="77777777" w:rsidR="00507DA3" w:rsidRPr="00C0681C" w:rsidRDefault="00507DA3" w:rsidP="0064119A">
      <w:pPr>
        <w:pStyle w:val="ApakApakpunkti"/>
        <w:numPr>
          <w:ilvl w:val="1"/>
          <w:numId w:val="35"/>
        </w:numPr>
        <w:ind w:left="993" w:hanging="567"/>
      </w:pPr>
      <w:r w:rsidRPr="00C0681C">
        <w:t>51,0–51,5Hz ne īsāk par 30 minūtēm.</w:t>
      </w:r>
    </w:p>
    <w:p w14:paraId="2B551A6D" w14:textId="77777777" w:rsidR="00730B6D" w:rsidRPr="00C0681C" w:rsidRDefault="00730B6D" w:rsidP="007A00E3">
      <w:pPr>
        <w:pStyle w:val="ListParagraph"/>
        <w:numPr>
          <w:ilvl w:val="0"/>
          <w:numId w:val="0"/>
        </w:numPr>
        <w:ind w:left="426"/>
      </w:pPr>
    </w:p>
    <w:p w14:paraId="7AE3A03C" w14:textId="77777777" w:rsidR="009073AC" w:rsidRPr="00C0681C" w:rsidRDefault="009073AC" w:rsidP="007A00E3">
      <w:pPr>
        <w:pStyle w:val="ListParagraph"/>
        <w:numPr>
          <w:ilvl w:val="0"/>
          <w:numId w:val="0"/>
        </w:numPr>
        <w:ind w:left="426"/>
      </w:pPr>
    </w:p>
    <w:p w14:paraId="0987196F" w14:textId="77777777" w:rsidR="00507DA3" w:rsidRPr="00C0681C" w:rsidRDefault="00507DA3" w:rsidP="004A723C">
      <w:pPr>
        <w:pStyle w:val="Heading4"/>
      </w:pPr>
      <w:r w:rsidRPr="00C0681C">
        <w:t>Vispārīgas prasības attiecībā uz spriegumu</w:t>
      </w:r>
    </w:p>
    <w:p w14:paraId="1EE75F90" w14:textId="2BED2A36" w:rsidR="00507DA3" w:rsidRPr="00C0681C" w:rsidRDefault="00507DA3" w:rsidP="007A00E3">
      <w:pPr>
        <w:pStyle w:val="ApakApakpunkti"/>
      </w:pPr>
      <w:r w:rsidRPr="00C0681C">
        <w:t>Saskaņā ar Regulas 2016/1388</w:t>
      </w:r>
      <w:r w:rsidRPr="00C0681C">
        <w:rPr>
          <w:b/>
        </w:rPr>
        <w:t xml:space="preserve"> 13.panta 1.punktu</w:t>
      </w:r>
      <w:r w:rsidRPr="00C0681C">
        <w:t xml:space="preserve">, pārvades sistēmai pieslēgtām </w:t>
      </w:r>
      <w:proofErr w:type="spellStart"/>
      <w:r w:rsidRPr="00C0681C">
        <w:t>pieprasījumietaisēm</w:t>
      </w:r>
      <w:proofErr w:type="spellEnd"/>
      <w:r w:rsidRPr="00C0681C">
        <w:t>, pārvades sistēmai pieslēgtām sadales ietaisēm un pārvades sistēmai pieslēgtām sadales sistēmām jāspēj palikt pieslēgtām tīklam un darboties sprieguma diapazonos un periodos</w:t>
      </w:r>
      <w:r w:rsidR="007163EC" w:rsidRPr="00C0681C">
        <w:t>, k</w:t>
      </w:r>
      <w:r w:rsidR="00C76FAB" w:rsidRPr="00C0681C">
        <w:t>uri</w:t>
      </w:r>
      <w:r w:rsidR="007163EC" w:rsidRPr="00C0681C">
        <w:t xml:space="preserve"> norādīti </w:t>
      </w:r>
      <w:r w:rsidR="004A723C" w:rsidRPr="00C0681C">
        <w:t>1.tabul</w:t>
      </w:r>
      <w:r w:rsidR="007163EC" w:rsidRPr="00C0681C">
        <w:t>ā</w:t>
      </w:r>
      <w:r w:rsidR="004A723C" w:rsidRPr="00C0681C">
        <w:t>.</w:t>
      </w:r>
    </w:p>
    <w:p w14:paraId="2D49DF8B" w14:textId="77777777" w:rsidR="004A723C" w:rsidRPr="00C0681C" w:rsidRDefault="004A723C" w:rsidP="004A723C">
      <w:pPr>
        <w:pStyle w:val="Tabulasvirsraksts"/>
        <w:jc w:val="right"/>
      </w:pPr>
      <w:r w:rsidRPr="00C0681C">
        <w:t>1.tabula</w:t>
      </w:r>
    </w:p>
    <w:p w14:paraId="0611B53C" w14:textId="77777777" w:rsidR="00507DA3" w:rsidRPr="00C0681C" w:rsidRDefault="004A723C" w:rsidP="004A723C">
      <w:pPr>
        <w:pStyle w:val="Tabulasvirsraksts"/>
        <w:rPr>
          <w:b/>
        </w:rPr>
      </w:pPr>
      <w:r w:rsidRPr="00C0681C">
        <w:rPr>
          <w:b/>
        </w:rPr>
        <w:t>Spriegumu diapazoni un darbības periodi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5"/>
        <w:gridCol w:w="2822"/>
        <w:gridCol w:w="2895"/>
      </w:tblGrid>
      <w:tr w:rsidR="00507DA3" w:rsidRPr="00C0681C" w14:paraId="718E4EF7" w14:textId="77777777" w:rsidTr="00172D28">
        <w:tc>
          <w:tcPr>
            <w:tcW w:w="2805" w:type="dxa"/>
          </w:tcPr>
          <w:p w14:paraId="70627B30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Sinhronā zona, spriegums</w:t>
            </w:r>
          </w:p>
        </w:tc>
        <w:tc>
          <w:tcPr>
            <w:tcW w:w="2822" w:type="dxa"/>
          </w:tcPr>
          <w:p w14:paraId="0D1CC9B7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Sprieguma diapazons</w:t>
            </w:r>
          </w:p>
        </w:tc>
        <w:tc>
          <w:tcPr>
            <w:tcW w:w="2895" w:type="dxa"/>
          </w:tcPr>
          <w:p w14:paraId="24732CE7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Darbības periods</w:t>
            </w:r>
          </w:p>
        </w:tc>
      </w:tr>
      <w:tr w:rsidR="00507DA3" w:rsidRPr="00C0681C" w14:paraId="674015AA" w14:textId="77777777" w:rsidTr="00172D28">
        <w:tc>
          <w:tcPr>
            <w:tcW w:w="2805" w:type="dxa"/>
          </w:tcPr>
          <w:p w14:paraId="7B784AA5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Baltija, 330kV</w:t>
            </w:r>
          </w:p>
        </w:tc>
        <w:tc>
          <w:tcPr>
            <w:tcW w:w="2822" w:type="dxa"/>
          </w:tcPr>
          <w:p w14:paraId="50D491F4" w14:textId="1A097DB8" w:rsidR="00507DA3" w:rsidRPr="00C0681C" w:rsidRDefault="00507DA3" w:rsidP="0098487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0,90–1,097</w:t>
            </w:r>
            <w:r w:rsidR="00172D28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p.u.</w:t>
            </w:r>
            <w:r w:rsidR="00172D28"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895" w:type="dxa"/>
          </w:tcPr>
          <w:p w14:paraId="05F01AC8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Neierobežots</w:t>
            </w:r>
          </w:p>
        </w:tc>
      </w:tr>
      <w:tr w:rsidR="00507DA3" w:rsidRPr="00C0681C" w14:paraId="500D85C2" w14:textId="77777777" w:rsidTr="00172D28">
        <w:tc>
          <w:tcPr>
            <w:tcW w:w="2805" w:type="dxa"/>
          </w:tcPr>
          <w:p w14:paraId="208BFEA4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Baltija, 330kV</w:t>
            </w:r>
          </w:p>
        </w:tc>
        <w:tc>
          <w:tcPr>
            <w:tcW w:w="2822" w:type="dxa"/>
          </w:tcPr>
          <w:p w14:paraId="35B491ED" w14:textId="7928A8F3" w:rsidR="00507DA3" w:rsidRPr="00C0681C" w:rsidRDefault="00507DA3" w:rsidP="0098487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1,097–1,15</w:t>
            </w:r>
            <w:r w:rsidR="00172D28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p.u.</w:t>
            </w:r>
            <w:r w:rsidR="00172D28"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895" w:type="dxa"/>
          </w:tcPr>
          <w:p w14:paraId="6B4EFB59" w14:textId="31E535D7" w:rsidR="00507DA3" w:rsidRPr="00C0681C" w:rsidRDefault="0048531E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 mazāk par </w:t>
            </w:r>
            <w:r w:rsidR="00507DA3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 minūtēm</w:t>
            </w:r>
          </w:p>
        </w:tc>
      </w:tr>
      <w:tr w:rsidR="00507DA3" w:rsidRPr="00C0681C" w14:paraId="4D9AF8A7" w14:textId="77777777" w:rsidTr="00172D28">
        <w:tc>
          <w:tcPr>
            <w:tcW w:w="2805" w:type="dxa"/>
          </w:tcPr>
          <w:p w14:paraId="31D14A0E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Baltija, 110kV</w:t>
            </w:r>
          </w:p>
        </w:tc>
        <w:tc>
          <w:tcPr>
            <w:tcW w:w="2822" w:type="dxa"/>
          </w:tcPr>
          <w:p w14:paraId="4512C81D" w14:textId="27E65975" w:rsidR="00507DA3" w:rsidRPr="00C0681C" w:rsidRDefault="00507DA3" w:rsidP="0098487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0,90–1,118</w:t>
            </w:r>
            <w:r w:rsidR="000C2457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p.u.</w:t>
            </w:r>
            <w:r w:rsidR="000C2457"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2895" w:type="dxa"/>
          </w:tcPr>
          <w:p w14:paraId="7C93CFE1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Neierobežots</w:t>
            </w:r>
          </w:p>
        </w:tc>
      </w:tr>
      <w:tr w:rsidR="00507DA3" w:rsidRPr="00C0681C" w14:paraId="7BEF090D" w14:textId="77777777" w:rsidTr="00172D28">
        <w:tc>
          <w:tcPr>
            <w:tcW w:w="2805" w:type="dxa"/>
          </w:tcPr>
          <w:p w14:paraId="4D41F98E" w14:textId="77777777" w:rsidR="00507DA3" w:rsidRPr="00C0681C" w:rsidRDefault="00507DA3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Baltija, 110kV</w:t>
            </w:r>
          </w:p>
        </w:tc>
        <w:tc>
          <w:tcPr>
            <w:tcW w:w="2822" w:type="dxa"/>
          </w:tcPr>
          <w:p w14:paraId="770FA316" w14:textId="4B0295A0" w:rsidR="00507DA3" w:rsidRPr="00C0681C" w:rsidRDefault="00507DA3" w:rsidP="00984878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1,118–1,15</w:t>
            </w:r>
            <w:r w:rsidR="000C2457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p.u.</w:t>
            </w:r>
            <w:r w:rsidR="000C2457"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2895" w:type="dxa"/>
          </w:tcPr>
          <w:p w14:paraId="2DF06F6A" w14:textId="414F45E8" w:rsidR="00507DA3" w:rsidRPr="00C0681C" w:rsidRDefault="0048531E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 mazāk par </w:t>
            </w:r>
            <w:r w:rsidR="00507DA3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 minūtēm</w:t>
            </w:r>
          </w:p>
        </w:tc>
      </w:tr>
    </w:tbl>
    <w:p w14:paraId="1C3B25DF" w14:textId="77777777" w:rsidR="00172D28" w:rsidRPr="00C0681C" w:rsidRDefault="00172D28" w:rsidP="00E51A9D">
      <w:pPr>
        <w:pStyle w:val="BodyText"/>
        <w:rPr>
          <w:rFonts w:ascii="Times New Roman" w:hAnsi="Times New Roman" w:cs="Times New Roman"/>
          <w:sz w:val="24"/>
          <w:szCs w:val="24"/>
          <w:vertAlign w:val="superscript"/>
          <w:lang w:val="lv-LV"/>
        </w:rPr>
      </w:pPr>
    </w:p>
    <w:p w14:paraId="24288FF0" w14:textId="3D32F6D6" w:rsidR="00507DA3" w:rsidRPr="00C0681C" w:rsidRDefault="00172D28" w:rsidP="00E51A9D">
      <w:pPr>
        <w:pStyle w:val="BodyText"/>
        <w:rPr>
          <w:rFonts w:ascii="Times New Roman" w:hAnsi="Times New Roman" w:cs="Times New Roman"/>
          <w:sz w:val="24"/>
          <w:szCs w:val="24"/>
          <w:lang w:val="lv-LV"/>
        </w:rPr>
      </w:pPr>
      <w:r w:rsidRPr="00C0681C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1</w:t>
      </w:r>
      <w:r w:rsidRPr="00C0681C">
        <w:rPr>
          <w:rFonts w:ascii="Times New Roman" w:hAnsi="Times New Roman" w:cs="Times New Roman"/>
          <w:sz w:val="24"/>
          <w:szCs w:val="24"/>
          <w:lang w:val="lv-LV"/>
        </w:rPr>
        <w:t xml:space="preserve"> – atsauces vērtība 1p.u. ir </w:t>
      </w:r>
      <w:r w:rsidR="00507DA3" w:rsidRPr="00C0681C">
        <w:rPr>
          <w:rFonts w:ascii="Times New Roman" w:hAnsi="Times New Roman" w:cs="Times New Roman"/>
          <w:sz w:val="24"/>
          <w:szCs w:val="24"/>
          <w:lang w:val="lv-LV"/>
        </w:rPr>
        <w:t>330kV;</w:t>
      </w:r>
    </w:p>
    <w:p w14:paraId="4326BF4E" w14:textId="6734562B" w:rsidR="00507DA3" w:rsidRPr="00C0681C" w:rsidRDefault="000C2457" w:rsidP="00E51A9D">
      <w:pPr>
        <w:pStyle w:val="BodyText"/>
        <w:rPr>
          <w:rFonts w:ascii="Times New Roman" w:hAnsi="Times New Roman" w:cs="Times New Roman"/>
          <w:sz w:val="24"/>
          <w:szCs w:val="24"/>
          <w:lang w:val="lv-LV"/>
        </w:rPr>
      </w:pPr>
      <w:r w:rsidRPr="00C0681C">
        <w:rPr>
          <w:rFonts w:ascii="Times New Roman" w:hAnsi="Times New Roman" w:cs="Times New Roman"/>
          <w:sz w:val="24"/>
          <w:szCs w:val="24"/>
          <w:vertAlign w:val="superscript"/>
          <w:lang w:val="lv-LV"/>
        </w:rPr>
        <w:t>2</w:t>
      </w:r>
      <w:r w:rsidRPr="00C0681C">
        <w:rPr>
          <w:rFonts w:ascii="Times New Roman" w:hAnsi="Times New Roman" w:cs="Times New Roman"/>
          <w:sz w:val="24"/>
          <w:szCs w:val="24"/>
          <w:lang w:val="lv-LV"/>
        </w:rPr>
        <w:t xml:space="preserve"> - atsauces vērtība 1p.u. ir </w:t>
      </w:r>
      <w:r w:rsidR="00507DA3" w:rsidRPr="00C0681C">
        <w:rPr>
          <w:rFonts w:ascii="Times New Roman" w:hAnsi="Times New Roman" w:cs="Times New Roman"/>
          <w:sz w:val="24"/>
          <w:szCs w:val="24"/>
          <w:lang w:val="lv-LV"/>
        </w:rPr>
        <w:t>110kV.</w:t>
      </w:r>
    </w:p>
    <w:p w14:paraId="4085FA5D" w14:textId="77777777" w:rsidR="00730B6D" w:rsidRPr="00C0681C" w:rsidRDefault="00730B6D" w:rsidP="00E51A9D">
      <w:pPr>
        <w:rPr>
          <w:rFonts w:cs="Times New Roman"/>
          <w:szCs w:val="24"/>
        </w:rPr>
      </w:pPr>
    </w:p>
    <w:p w14:paraId="6EE29241" w14:textId="3401F966" w:rsidR="00507DA3" w:rsidRPr="00C0681C" w:rsidRDefault="00507DA3" w:rsidP="007A00E3">
      <w:pPr>
        <w:pStyle w:val="ApakApakpunkti"/>
      </w:pPr>
      <w:r w:rsidRPr="00C0681C">
        <w:t>Saskaņā ar Regulas 2016/1388</w:t>
      </w:r>
      <w:r w:rsidRPr="00C0681C">
        <w:rPr>
          <w:b/>
        </w:rPr>
        <w:t xml:space="preserve"> 13.panta </w:t>
      </w:r>
      <w:r w:rsidR="006F45FC" w:rsidRPr="00C0681C">
        <w:rPr>
          <w:b/>
        </w:rPr>
        <w:t>7</w:t>
      </w:r>
      <w:r w:rsidRPr="00C0681C">
        <w:rPr>
          <w:b/>
        </w:rPr>
        <w:t>.punktu</w:t>
      </w:r>
      <w:r w:rsidRPr="00C0681C">
        <w:t>, attiecībā</w:t>
      </w:r>
      <w:r w:rsidRPr="00C0681C">
        <w:rPr>
          <w:spacing w:val="-11"/>
        </w:rPr>
        <w:t xml:space="preserve"> </w:t>
      </w:r>
      <w:r w:rsidRPr="00C0681C">
        <w:t>uz</w:t>
      </w:r>
      <w:r w:rsidRPr="00C0681C">
        <w:rPr>
          <w:spacing w:val="-11"/>
        </w:rPr>
        <w:t xml:space="preserve"> </w:t>
      </w:r>
      <w:r w:rsidRPr="00C0681C">
        <w:t>pārvades</w:t>
      </w:r>
      <w:r w:rsidRPr="00C0681C">
        <w:rPr>
          <w:spacing w:val="-11"/>
        </w:rPr>
        <w:t xml:space="preserve"> </w:t>
      </w:r>
      <w:r w:rsidRPr="00C0681C">
        <w:t>sistēmai</w:t>
      </w:r>
      <w:r w:rsidRPr="00C0681C">
        <w:rPr>
          <w:spacing w:val="-11"/>
        </w:rPr>
        <w:t xml:space="preserve"> </w:t>
      </w:r>
      <w:r w:rsidRPr="00C0681C">
        <w:t>pieslēgtām</w:t>
      </w:r>
      <w:r w:rsidRPr="00C0681C">
        <w:rPr>
          <w:spacing w:val="-11"/>
        </w:rPr>
        <w:t xml:space="preserve"> </w:t>
      </w:r>
      <w:r w:rsidRPr="00C0681C">
        <w:t>sadales</w:t>
      </w:r>
      <w:r w:rsidRPr="00C0681C">
        <w:rPr>
          <w:spacing w:val="-12"/>
        </w:rPr>
        <w:t xml:space="preserve"> </w:t>
      </w:r>
      <w:r w:rsidRPr="00C0681C">
        <w:t>sistēmām,</w:t>
      </w:r>
      <w:r w:rsidRPr="00C0681C">
        <w:rPr>
          <w:spacing w:val="-11"/>
        </w:rPr>
        <w:t xml:space="preserve"> </w:t>
      </w:r>
      <w:r w:rsidRPr="00C0681C">
        <w:t>kurās</w:t>
      </w:r>
      <w:r w:rsidRPr="00C0681C">
        <w:rPr>
          <w:spacing w:val="-12"/>
        </w:rPr>
        <w:t xml:space="preserve"> </w:t>
      </w:r>
      <w:r w:rsidRPr="00C0681C">
        <w:t>spriegums</w:t>
      </w:r>
      <w:r w:rsidRPr="00C0681C">
        <w:rPr>
          <w:spacing w:val="-11"/>
        </w:rPr>
        <w:t xml:space="preserve"> </w:t>
      </w:r>
      <w:proofErr w:type="spellStart"/>
      <w:r w:rsidRPr="00C0681C">
        <w:t>pieslēgumpunktā</w:t>
      </w:r>
      <w:proofErr w:type="spellEnd"/>
      <w:r w:rsidRPr="00C0681C">
        <w:rPr>
          <w:spacing w:val="-11"/>
        </w:rPr>
        <w:t xml:space="preserve"> </w:t>
      </w:r>
      <w:r w:rsidRPr="00C0681C">
        <w:t>ir</w:t>
      </w:r>
      <w:r w:rsidRPr="00C0681C">
        <w:rPr>
          <w:spacing w:val="-12"/>
        </w:rPr>
        <w:t xml:space="preserve"> </w:t>
      </w:r>
      <w:r w:rsidRPr="00C0681C">
        <w:t>zem</w:t>
      </w:r>
      <w:r w:rsidRPr="00C0681C">
        <w:rPr>
          <w:spacing w:val="-11"/>
        </w:rPr>
        <w:t xml:space="preserve"> </w:t>
      </w:r>
      <w:r w:rsidRPr="00C0681C">
        <w:t>110</w:t>
      </w:r>
      <w:r w:rsidRPr="00C0681C">
        <w:rPr>
          <w:spacing w:val="-5"/>
        </w:rPr>
        <w:t>kV</w:t>
      </w:r>
      <w:r w:rsidRPr="00C0681C">
        <w:t xml:space="preserve"> jāspēj palikt pieslēgtām tīklam un darboties s</w:t>
      </w:r>
      <w:r w:rsidR="004A723C" w:rsidRPr="00C0681C">
        <w:t>prieguma diapazonos un periodos</w:t>
      </w:r>
      <w:r w:rsidR="007163EC" w:rsidRPr="00C0681C">
        <w:t xml:space="preserve">, </w:t>
      </w:r>
      <w:r w:rsidR="00C76FAB" w:rsidRPr="00C0681C">
        <w:t>kuri</w:t>
      </w:r>
      <w:r w:rsidR="007163EC" w:rsidRPr="00C0681C">
        <w:t xml:space="preserve"> ir norādīti</w:t>
      </w:r>
      <w:r w:rsidR="00C76FAB" w:rsidRPr="00C0681C">
        <w:t xml:space="preserve"> </w:t>
      </w:r>
      <w:r w:rsidR="004A723C" w:rsidRPr="00C0681C">
        <w:t>2. tabul</w:t>
      </w:r>
      <w:r w:rsidR="007163EC" w:rsidRPr="00C0681C">
        <w:t>ā</w:t>
      </w:r>
      <w:r w:rsidR="004A723C" w:rsidRPr="00C0681C">
        <w:t>.</w:t>
      </w:r>
    </w:p>
    <w:p w14:paraId="0C4B7E4A" w14:textId="77777777" w:rsidR="00880236" w:rsidRPr="00C0681C" w:rsidRDefault="00880236">
      <w:pPr>
        <w:spacing w:after="200" w:line="276" w:lineRule="auto"/>
        <w:jc w:val="left"/>
        <w:rPr>
          <w:rFonts w:eastAsia="Times New Roman" w:cs="Times New Roman"/>
          <w:i/>
          <w:szCs w:val="24"/>
          <w:lang w:eastAsia="lv-LV"/>
        </w:rPr>
      </w:pPr>
      <w:r w:rsidRPr="00C0681C">
        <w:br w:type="page"/>
      </w:r>
    </w:p>
    <w:p w14:paraId="0511CAF7" w14:textId="6EF37139" w:rsidR="004A723C" w:rsidRPr="00C0681C" w:rsidRDefault="004A723C" w:rsidP="004A723C">
      <w:pPr>
        <w:pStyle w:val="Tabulasvirsraksts"/>
        <w:jc w:val="right"/>
      </w:pPr>
      <w:r w:rsidRPr="00C0681C">
        <w:lastRenderedPageBreak/>
        <w:t>2.tabula</w:t>
      </w:r>
    </w:p>
    <w:p w14:paraId="16A4293E" w14:textId="77777777" w:rsidR="004A723C" w:rsidRPr="00C0681C" w:rsidRDefault="004A723C" w:rsidP="004A723C">
      <w:pPr>
        <w:pStyle w:val="Tabulasvirsraksts"/>
        <w:rPr>
          <w:b/>
        </w:rPr>
      </w:pPr>
      <w:r w:rsidRPr="00C0681C">
        <w:rPr>
          <w:b/>
        </w:rPr>
        <w:t>Spriegumu diapazoni un darbības periodi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9"/>
        <w:gridCol w:w="2830"/>
        <w:gridCol w:w="2813"/>
      </w:tblGrid>
      <w:tr w:rsidR="00357006" w:rsidRPr="00C0681C" w14:paraId="66053EEE" w14:textId="77777777" w:rsidTr="004A723C">
        <w:tc>
          <w:tcPr>
            <w:tcW w:w="2879" w:type="dxa"/>
            <w:vAlign w:val="center"/>
          </w:tcPr>
          <w:p w14:paraId="32CEFC40" w14:textId="77777777" w:rsidR="00357006" w:rsidRPr="00C0681C" w:rsidRDefault="004A723C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Spriegums</w:t>
            </w:r>
            <w:r w:rsidRPr="00C0681C">
              <w:rPr>
                <w:rFonts w:ascii="Times New Roman" w:hAnsi="Times New Roman" w:cs="Times New Roman"/>
                <w:spacing w:val="-11"/>
                <w:sz w:val="24"/>
                <w:szCs w:val="24"/>
                <w:lang w:val="lv-LV"/>
              </w:rPr>
              <w:t xml:space="preserve"> </w:t>
            </w: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pieslēguma punktā</w:t>
            </w:r>
            <w:r w:rsidRPr="00C0681C">
              <w:rPr>
                <w:rFonts w:ascii="Times New Roman" w:hAnsi="Times New Roman" w:cs="Times New Roman"/>
                <w:spacing w:val="-11"/>
                <w:sz w:val="24"/>
                <w:szCs w:val="24"/>
                <w:lang w:val="lv-LV"/>
              </w:rPr>
              <w:t xml:space="preserve"> </w:t>
            </w:r>
            <w:r w:rsidRPr="00C0681C">
              <w:rPr>
                <w:rFonts w:ascii="Times New Roman" w:hAnsi="Times New Roman" w:cs="Times New Roman"/>
                <w:spacing w:val="-12"/>
                <w:sz w:val="24"/>
                <w:szCs w:val="24"/>
                <w:lang w:val="lv-LV"/>
              </w:rPr>
              <w:t xml:space="preserve"> </w:t>
            </w: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zem</w:t>
            </w:r>
            <w:r w:rsidRPr="00C0681C">
              <w:rPr>
                <w:rFonts w:ascii="Times New Roman" w:hAnsi="Times New Roman" w:cs="Times New Roman"/>
                <w:spacing w:val="-11"/>
                <w:sz w:val="24"/>
                <w:szCs w:val="24"/>
                <w:lang w:val="lv-LV"/>
              </w:rPr>
              <w:t xml:space="preserve"> </w:t>
            </w: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110</w:t>
            </w:r>
            <w:r w:rsidRPr="00C0681C">
              <w:rPr>
                <w:rFonts w:ascii="Times New Roman" w:hAnsi="Times New Roman" w:cs="Times New Roman"/>
                <w:spacing w:val="-5"/>
                <w:sz w:val="24"/>
                <w:szCs w:val="24"/>
                <w:lang w:val="lv-LV"/>
              </w:rPr>
              <w:t>kV</w:t>
            </w:r>
          </w:p>
        </w:tc>
        <w:tc>
          <w:tcPr>
            <w:tcW w:w="2830" w:type="dxa"/>
            <w:vAlign w:val="center"/>
          </w:tcPr>
          <w:p w14:paraId="49AFFD17" w14:textId="77777777" w:rsidR="00357006" w:rsidRPr="00C0681C" w:rsidRDefault="0035700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Sprieguma diapazons</w:t>
            </w:r>
          </w:p>
        </w:tc>
        <w:tc>
          <w:tcPr>
            <w:tcW w:w="2813" w:type="dxa"/>
            <w:vAlign w:val="center"/>
          </w:tcPr>
          <w:p w14:paraId="7F8D2D06" w14:textId="77777777" w:rsidR="00357006" w:rsidRPr="00C0681C" w:rsidRDefault="0035700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Darbības periods</w:t>
            </w:r>
          </w:p>
        </w:tc>
      </w:tr>
      <w:tr w:rsidR="00357006" w:rsidRPr="00C0681C" w14:paraId="2FE4BFC5" w14:textId="77777777" w:rsidTr="003A0876">
        <w:tc>
          <w:tcPr>
            <w:tcW w:w="2879" w:type="dxa"/>
          </w:tcPr>
          <w:p w14:paraId="724C251F" w14:textId="77777777" w:rsidR="00357006" w:rsidRPr="00C0681C" w:rsidRDefault="0035700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6kV</w:t>
            </w:r>
          </w:p>
        </w:tc>
        <w:tc>
          <w:tcPr>
            <w:tcW w:w="2830" w:type="dxa"/>
          </w:tcPr>
          <w:p w14:paraId="6E390F58" w14:textId="4BFF169A" w:rsidR="00357006" w:rsidRPr="00C0681C" w:rsidRDefault="00357006" w:rsidP="002F77C0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0.85-1.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p.u.</w:t>
            </w:r>
            <w:r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813" w:type="dxa"/>
          </w:tcPr>
          <w:p w14:paraId="1E0E9131" w14:textId="77777777" w:rsidR="00357006" w:rsidRPr="00C0681C" w:rsidRDefault="00357006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Neierobežots</w:t>
            </w:r>
          </w:p>
        </w:tc>
      </w:tr>
      <w:tr w:rsidR="003A0876" w:rsidRPr="00C0681C" w14:paraId="2B6A526F" w14:textId="77777777" w:rsidTr="003A0876">
        <w:tc>
          <w:tcPr>
            <w:tcW w:w="2879" w:type="dxa"/>
          </w:tcPr>
          <w:p w14:paraId="759DC087" w14:textId="77777777" w:rsidR="003A0876" w:rsidRPr="00C0681C" w:rsidRDefault="003A087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6kV</w:t>
            </w:r>
          </w:p>
        </w:tc>
        <w:tc>
          <w:tcPr>
            <w:tcW w:w="2830" w:type="dxa"/>
          </w:tcPr>
          <w:p w14:paraId="3FF004B0" w14:textId="1412E172" w:rsidR="003A0876" w:rsidRPr="00C0681C" w:rsidRDefault="00810BCB" w:rsidP="002F77C0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1.1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-1.2p.u.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1</w:t>
            </w:r>
          </w:p>
        </w:tc>
        <w:tc>
          <w:tcPr>
            <w:tcW w:w="2813" w:type="dxa"/>
          </w:tcPr>
          <w:p w14:paraId="75F0A156" w14:textId="4AC99AE4" w:rsidR="003A0876" w:rsidRPr="00C0681C" w:rsidRDefault="0048531E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 mazāk par 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 minūtēm</w:t>
            </w:r>
          </w:p>
        </w:tc>
      </w:tr>
      <w:tr w:rsidR="003A0876" w:rsidRPr="00C0681C" w14:paraId="7EBD97C3" w14:textId="77777777" w:rsidTr="003A0876">
        <w:tc>
          <w:tcPr>
            <w:tcW w:w="2879" w:type="dxa"/>
          </w:tcPr>
          <w:p w14:paraId="28E93F46" w14:textId="77777777" w:rsidR="003A0876" w:rsidRPr="00C0681C" w:rsidRDefault="003A087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10kV</w:t>
            </w:r>
          </w:p>
        </w:tc>
        <w:tc>
          <w:tcPr>
            <w:tcW w:w="2830" w:type="dxa"/>
          </w:tcPr>
          <w:p w14:paraId="172D16D5" w14:textId="335FA18A" w:rsidR="003A0876" w:rsidRPr="00C0681C" w:rsidRDefault="003A0876" w:rsidP="002F77C0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0.85-1.1p.u.</w:t>
            </w:r>
            <w:r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2813" w:type="dxa"/>
          </w:tcPr>
          <w:p w14:paraId="37D197E9" w14:textId="77777777" w:rsidR="003A0876" w:rsidRPr="00C0681C" w:rsidRDefault="003A0876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Neierobežots</w:t>
            </w:r>
          </w:p>
        </w:tc>
      </w:tr>
      <w:tr w:rsidR="003A0876" w:rsidRPr="00C0681C" w14:paraId="755E29D0" w14:textId="77777777" w:rsidTr="003A0876">
        <w:tc>
          <w:tcPr>
            <w:tcW w:w="2879" w:type="dxa"/>
          </w:tcPr>
          <w:p w14:paraId="4A74170A" w14:textId="77777777" w:rsidR="003A0876" w:rsidRPr="00C0681C" w:rsidRDefault="003A087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10kV</w:t>
            </w:r>
          </w:p>
        </w:tc>
        <w:tc>
          <w:tcPr>
            <w:tcW w:w="2830" w:type="dxa"/>
          </w:tcPr>
          <w:p w14:paraId="62A4B691" w14:textId="76C4FDC7" w:rsidR="003A0876" w:rsidRPr="00C0681C" w:rsidRDefault="00810BCB" w:rsidP="002F77C0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1.1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-1.2p.u.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2</w:t>
            </w:r>
          </w:p>
        </w:tc>
        <w:tc>
          <w:tcPr>
            <w:tcW w:w="2813" w:type="dxa"/>
          </w:tcPr>
          <w:p w14:paraId="63FCD402" w14:textId="3347F8B1" w:rsidR="003A0876" w:rsidRPr="00C0681C" w:rsidRDefault="0048531E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 mazāk par 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 minūtēm</w:t>
            </w:r>
          </w:p>
        </w:tc>
      </w:tr>
      <w:tr w:rsidR="003A0876" w:rsidRPr="00C0681C" w14:paraId="45ACFC63" w14:textId="77777777" w:rsidTr="003A0876">
        <w:tc>
          <w:tcPr>
            <w:tcW w:w="2879" w:type="dxa"/>
          </w:tcPr>
          <w:p w14:paraId="38770FA4" w14:textId="77777777" w:rsidR="003A0876" w:rsidRPr="00C0681C" w:rsidRDefault="003A087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20kV</w:t>
            </w:r>
          </w:p>
        </w:tc>
        <w:tc>
          <w:tcPr>
            <w:tcW w:w="2830" w:type="dxa"/>
          </w:tcPr>
          <w:p w14:paraId="4A9FE2D1" w14:textId="7E48A28A" w:rsidR="003A0876" w:rsidRPr="00C0681C" w:rsidRDefault="003A0876" w:rsidP="002F77C0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0.85-1.1p.u.</w:t>
            </w:r>
            <w:r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2813" w:type="dxa"/>
          </w:tcPr>
          <w:p w14:paraId="72CD3667" w14:textId="77777777" w:rsidR="003A0876" w:rsidRPr="00C0681C" w:rsidRDefault="003A0876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Neierobežots</w:t>
            </w:r>
          </w:p>
        </w:tc>
      </w:tr>
      <w:tr w:rsidR="003A0876" w:rsidRPr="00C0681C" w14:paraId="1D4237EB" w14:textId="77777777" w:rsidTr="003A0876">
        <w:tc>
          <w:tcPr>
            <w:tcW w:w="2879" w:type="dxa"/>
          </w:tcPr>
          <w:p w14:paraId="185B3C42" w14:textId="77777777" w:rsidR="003A0876" w:rsidRPr="00C0681C" w:rsidRDefault="003A0876" w:rsidP="004A723C">
            <w:pPr>
              <w:pStyle w:val="BodyText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20kV</w:t>
            </w:r>
          </w:p>
        </w:tc>
        <w:tc>
          <w:tcPr>
            <w:tcW w:w="2830" w:type="dxa"/>
          </w:tcPr>
          <w:p w14:paraId="7F235EBA" w14:textId="439093E0" w:rsidR="003A0876" w:rsidRPr="00C0681C" w:rsidRDefault="00810BCB" w:rsidP="002F77C0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1.1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-1.2p.u.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v-LV"/>
              </w:rPr>
              <w:t>3</w:t>
            </w:r>
          </w:p>
        </w:tc>
        <w:tc>
          <w:tcPr>
            <w:tcW w:w="2813" w:type="dxa"/>
          </w:tcPr>
          <w:p w14:paraId="0AF612F7" w14:textId="6B1C6C4D" w:rsidR="003A0876" w:rsidRPr="00C0681C" w:rsidRDefault="0048531E" w:rsidP="00E51A9D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Ne mazāk par </w:t>
            </w:r>
            <w:r w:rsidR="003A0876" w:rsidRPr="00C0681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 minūtēm</w:t>
            </w:r>
          </w:p>
        </w:tc>
      </w:tr>
    </w:tbl>
    <w:p w14:paraId="1067EFF7" w14:textId="77777777" w:rsidR="00357006" w:rsidRPr="00C0681C" w:rsidRDefault="00357006" w:rsidP="00E51A9D">
      <w:pPr>
        <w:rPr>
          <w:rFonts w:cs="Times New Roman"/>
          <w:szCs w:val="24"/>
        </w:rPr>
      </w:pPr>
    </w:p>
    <w:p w14:paraId="7E6D960B" w14:textId="5A2B6050" w:rsidR="00507DA3" w:rsidRPr="00C0681C" w:rsidRDefault="00357006" w:rsidP="00E51A9D">
      <w:pPr>
        <w:rPr>
          <w:rFonts w:cs="Times New Roman"/>
          <w:szCs w:val="24"/>
        </w:rPr>
      </w:pPr>
      <w:r w:rsidRPr="00C0681C">
        <w:rPr>
          <w:rFonts w:cs="Times New Roman"/>
          <w:szCs w:val="24"/>
          <w:vertAlign w:val="superscript"/>
        </w:rPr>
        <w:t>1</w:t>
      </w:r>
      <w:r w:rsidRPr="00C0681C">
        <w:rPr>
          <w:rFonts w:cs="Times New Roman"/>
          <w:szCs w:val="24"/>
        </w:rPr>
        <w:t xml:space="preserve"> </w:t>
      </w:r>
      <w:r w:rsidR="004268E8" w:rsidRPr="00C0681C">
        <w:rPr>
          <w:rFonts w:cs="Times New Roman"/>
          <w:szCs w:val="24"/>
        </w:rPr>
        <w:t>– atsauces vērtība 1</w:t>
      </w:r>
      <w:r w:rsidRPr="00C0681C">
        <w:rPr>
          <w:rFonts w:cs="Times New Roman"/>
          <w:szCs w:val="24"/>
        </w:rPr>
        <w:t xml:space="preserve">p.u. ir 6kV </w:t>
      </w:r>
    </w:p>
    <w:p w14:paraId="4D22107E" w14:textId="4D1AB7F3" w:rsidR="00507DA3" w:rsidRPr="00C0681C" w:rsidRDefault="00357006" w:rsidP="00E51A9D">
      <w:pPr>
        <w:rPr>
          <w:rFonts w:cs="Times New Roman"/>
          <w:szCs w:val="24"/>
        </w:rPr>
      </w:pPr>
      <w:r w:rsidRPr="00C0681C">
        <w:rPr>
          <w:rFonts w:cs="Times New Roman"/>
          <w:szCs w:val="24"/>
          <w:vertAlign w:val="superscript"/>
        </w:rPr>
        <w:t>2</w:t>
      </w:r>
      <w:r w:rsidRPr="00C0681C">
        <w:rPr>
          <w:rFonts w:cs="Times New Roman"/>
          <w:szCs w:val="24"/>
        </w:rPr>
        <w:t xml:space="preserve"> - </w:t>
      </w:r>
      <w:r w:rsidR="004268E8" w:rsidRPr="00C0681C">
        <w:rPr>
          <w:rFonts w:cs="Times New Roman"/>
          <w:szCs w:val="24"/>
        </w:rPr>
        <w:t>atsauces vērtība 1</w:t>
      </w:r>
      <w:r w:rsidRPr="00C0681C">
        <w:rPr>
          <w:rFonts w:cs="Times New Roman"/>
          <w:szCs w:val="24"/>
        </w:rPr>
        <w:t xml:space="preserve">p.u. ir </w:t>
      </w:r>
      <w:r w:rsidR="00507DA3" w:rsidRPr="00C0681C">
        <w:rPr>
          <w:rFonts w:cs="Times New Roman"/>
          <w:szCs w:val="24"/>
        </w:rPr>
        <w:t>10</w:t>
      </w:r>
      <w:r w:rsidRPr="00C0681C">
        <w:rPr>
          <w:rFonts w:cs="Times New Roman"/>
          <w:szCs w:val="24"/>
        </w:rPr>
        <w:t>kV</w:t>
      </w:r>
    </w:p>
    <w:p w14:paraId="2EDF8C37" w14:textId="150FCBC8" w:rsidR="00507DA3" w:rsidRPr="00C0681C" w:rsidRDefault="00357006" w:rsidP="00E51A9D">
      <w:pPr>
        <w:rPr>
          <w:rFonts w:cs="Times New Roman"/>
          <w:szCs w:val="24"/>
        </w:rPr>
      </w:pPr>
      <w:r w:rsidRPr="00C0681C">
        <w:rPr>
          <w:rFonts w:cs="Times New Roman"/>
          <w:szCs w:val="24"/>
          <w:vertAlign w:val="superscript"/>
        </w:rPr>
        <w:t>3</w:t>
      </w:r>
      <w:r w:rsidRPr="00C0681C">
        <w:rPr>
          <w:rFonts w:cs="Times New Roman"/>
          <w:szCs w:val="24"/>
        </w:rPr>
        <w:t xml:space="preserve"> - </w:t>
      </w:r>
      <w:r w:rsidR="004268E8" w:rsidRPr="00C0681C">
        <w:rPr>
          <w:rFonts w:cs="Times New Roman"/>
          <w:szCs w:val="24"/>
        </w:rPr>
        <w:t>atsauces vērtība 1</w:t>
      </w:r>
      <w:r w:rsidRPr="00C0681C">
        <w:rPr>
          <w:rFonts w:cs="Times New Roman"/>
          <w:szCs w:val="24"/>
        </w:rPr>
        <w:t>p.u. ir 20kV</w:t>
      </w:r>
    </w:p>
    <w:p w14:paraId="5112D6AC" w14:textId="77777777" w:rsidR="007A00E3" w:rsidRPr="00C0681C" w:rsidRDefault="007A00E3" w:rsidP="00E51A9D">
      <w:pPr>
        <w:rPr>
          <w:rFonts w:cs="Times New Roman"/>
          <w:szCs w:val="24"/>
        </w:rPr>
      </w:pPr>
    </w:p>
    <w:p w14:paraId="5AC26344" w14:textId="77777777" w:rsidR="007A00E3" w:rsidRPr="00C0681C" w:rsidRDefault="007A00E3" w:rsidP="00E51A9D">
      <w:pPr>
        <w:rPr>
          <w:rFonts w:cs="Times New Roman"/>
          <w:szCs w:val="24"/>
        </w:rPr>
      </w:pPr>
    </w:p>
    <w:p w14:paraId="6E671F49" w14:textId="77777777" w:rsidR="00507DA3" w:rsidRPr="00C0681C" w:rsidRDefault="00507DA3" w:rsidP="004A723C">
      <w:pPr>
        <w:pStyle w:val="Heading4"/>
      </w:pPr>
      <w:r w:rsidRPr="00C0681C">
        <w:t xml:space="preserve">Prasības attiecībā uz </w:t>
      </w:r>
      <w:proofErr w:type="spellStart"/>
      <w:r w:rsidRPr="00C0681C">
        <w:t>īsslēgumu</w:t>
      </w:r>
      <w:proofErr w:type="spellEnd"/>
    </w:p>
    <w:p w14:paraId="05282FD4" w14:textId="77777777" w:rsidR="00507DA3" w:rsidRPr="00C0681C" w:rsidRDefault="00507DA3" w:rsidP="007A00E3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14.panta 1.punktu</w:t>
      </w:r>
      <w:r w:rsidRPr="00C0681C">
        <w:t xml:space="preserve"> informāciju par maksimālās </w:t>
      </w:r>
      <w:proofErr w:type="spellStart"/>
      <w:r w:rsidRPr="00C0681C">
        <w:t>īsslēguma</w:t>
      </w:r>
      <w:proofErr w:type="spellEnd"/>
      <w:r w:rsidRPr="00C0681C">
        <w:t xml:space="preserve"> strāv</w:t>
      </w:r>
      <w:r w:rsidR="00BB1840" w:rsidRPr="00C0681C">
        <w:t>a</w:t>
      </w:r>
      <w:r w:rsidRPr="00C0681C">
        <w:t xml:space="preserve">s </w:t>
      </w:r>
      <w:r w:rsidR="00B16231" w:rsidRPr="00C0681C">
        <w:t>lielumiem</w:t>
      </w:r>
      <w:r w:rsidRPr="00C0681C">
        <w:t xml:space="preserve"> pārvades tīkla pieslēguma punktos PSO izvieto un uztur </w:t>
      </w:r>
      <w:r w:rsidR="00A178B8" w:rsidRPr="00C0681C">
        <w:t xml:space="preserve">savā </w:t>
      </w:r>
      <w:r w:rsidRPr="00C0681C">
        <w:t>interneta mājas lapā</w:t>
      </w:r>
      <w:r w:rsidR="006240FE" w:rsidRPr="00C0681C">
        <w:t>.</w:t>
      </w:r>
    </w:p>
    <w:p w14:paraId="71BF98AD" w14:textId="77777777" w:rsidR="00507DA3" w:rsidRPr="00C0681C" w:rsidRDefault="00507DA3" w:rsidP="007A00E3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14.panta 2 .punktu</w:t>
      </w:r>
      <w:r w:rsidRPr="00C0681C">
        <w:t xml:space="preserve"> PSO veic </w:t>
      </w:r>
      <w:r w:rsidR="00B16231" w:rsidRPr="00C0681C">
        <w:t xml:space="preserve">maksimālo un </w:t>
      </w:r>
      <w:r w:rsidRPr="00C0681C">
        <w:t xml:space="preserve">minimālo </w:t>
      </w:r>
      <w:proofErr w:type="spellStart"/>
      <w:r w:rsidRPr="00C0681C">
        <w:t>īsslēguma</w:t>
      </w:r>
      <w:proofErr w:type="spellEnd"/>
      <w:r w:rsidRPr="00C0681C">
        <w:t xml:space="preserve"> strāvu </w:t>
      </w:r>
      <w:r w:rsidR="00B16231" w:rsidRPr="00C0681C">
        <w:t xml:space="preserve">aplēses </w:t>
      </w:r>
      <w:r w:rsidRPr="00C0681C">
        <w:t xml:space="preserve">un informāciju par </w:t>
      </w:r>
      <w:r w:rsidR="00B16231" w:rsidRPr="00C0681C">
        <w:t xml:space="preserve">strāvu lielumiem </w:t>
      </w:r>
      <w:r w:rsidRPr="00C0681C">
        <w:t>iekļauj pieslēguma ierīkošanas tehniskajos noteikumos.</w:t>
      </w:r>
    </w:p>
    <w:p w14:paraId="5E511BAF" w14:textId="77777777" w:rsidR="007A00E3" w:rsidRPr="00C0681C" w:rsidRDefault="0081042F" w:rsidP="005339CF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14.panta 4 .punktu</w:t>
      </w:r>
      <w:r w:rsidRPr="00C0681C">
        <w:t xml:space="preserve"> </w:t>
      </w:r>
      <w:r w:rsidR="00326C59" w:rsidRPr="00C0681C">
        <w:t xml:space="preserve">iekārtai </w:t>
      </w:r>
      <w:r w:rsidRPr="00C0681C">
        <w:t xml:space="preserve">paredzēto maksimālo </w:t>
      </w:r>
      <w:proofErr w:type="spellStart"/>
      <w:r w:rsidRPr="00C0681C">
        <w:t>īsslēguma</w:t>
      </w:r>
      <w:proofErr w:type="spellEnd"/>
      <w:r w:rsidRPr="00C0681C">
        <w:t xml:space="preserve"> strāv</w:t>
      </w:r>
      <w:r w:rsidR="00B91DCC" w:rsidRPr="00C0681C">
        <w:t>a</w:t>
      </w:r>
      <w:r w:rsidRPr="00C0681C">
        <w:t xml:space="preserve">s </w:t>
      </w:r>
      <w:r w:rsidR="00326C59" w:rsidRPr="00C0681C">
        <w:t>r</w:t>
      </w:r>
      <w:r w:rsidRPr="00C0681C">
        <w:t>obežvērtību</w:t>
      </w:r>
      <w:r w:rsidR="00B91DCC" w:rsidRPr="00C0681C">
        <w:t xml:space="preserve"> </w:t>
      </w:r>
      <w:proofErr w:type="spellStart"/>
      <w:r w:rsidR="00A87C35" w:rsidRPr="00C0681C">
        <w:t>pieprasījumietaises</w:t>
      </w:r>
      <w:proofErr w:type="spellEnd"/>
      <w:r w:rsidR="00A87C35" w:rsidRPr="00C0681C">
        <w:t xml:space="preserve"> īpašnieks vai sadales sistēmas operators </w:t>
      </w:r>
      <w:r w:rsidR="00B91DCC" w:rsidRPr="00C0681C">
        <w:t>norāda pieteikuma dokumentācijā pieprasījuma ietaises vai sadales ietaises pieslēguma ierīkošanai pie pārvades sistēmas</w:t>
      </w:r>
      <w:r w:rsidR="00231D54" w:rsidRPr="00C0681C">
        <w:t xml:space="preserve"> vai esoša pieslēguma atļautās slodzes izmaiņām</w:t>
      </w:r>
      <w:r w:rsidR="00B91DCC" w:rsidRPr="00C0681C">
        <w:t>.</w:t>
      </w:r>
    </w:p>
    <w:p w14:paraId="689FE58F" w14:textId="77777777" w:rsidR="007A00E3" w:rsidRPr="00C0681C" w:rsidRDefault="007A00E3" w:rsidP="007A00E3">
      <w:pPr>
        <w:pStyle w:val="Apakpunkti"/>
        <w:numPr>
          <w:ilvl w:val="0"/>
          <w:numId w:val="0"/>
        </w:numPr>
        <w:rPr>
          <w:lang w:eastAsia="en-US"/>
        </w:rPr>
      </w:pPr>
    </w:p>
    <w:p w14:paraId="593688BF" w14:textId="77777777" w:rsidR="007A00E3" w:rsidRPr="00C0681C" w:rsidRDefault="007A00E3" w:rsidP="007A00E3">
      <w:pPr>
        <w:pStyle w:val="Apakpunkti"/>
        <w:numPr>
          <w:ilvl w:val="0"/>
          <w:numId w:val="0"/>
        </w:numPr>
        <w:rPr>
          <w:lang w:eastAsia="en-US"/>
        </w:rPr>
      </w:pPr>
    </w:p>
    <w:p w14:paraId="1C28F383" w14:textId="77777777" w:rsidR="00507DA3" w:rsidRPr="00C0681C" w:rsidRDefault="00507DA3" w:rsidP="004A723C">
      <w:pPr>
        <w:pStyle w:val="Heading4"/>
      </w:pPr>
      <w:r w:rsidRPr="00C0681C">
        <w:t>Prasības attiecībā uz reaktīvo jaudu</w:t>
      </w:r>
    </w:p>
    <w:p w14:paraId="6A12A02F" w14:textId="77777777" w:rsidR="00507DA3" w:rsidRPr="00C0681C" w:rsidRDefault="00507DA3" w:rsidP="007A00E3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15.panta 1.punktu</w:t>
      </w:r>
      <w:r w:rsidRPr="00C0681C">
        <w:t xml:space="preserve"> pārvades sistēmai pieslēgtām </w:t>
      </w:r>
      <w:proofErr w:type="spellStart"/>
      <w:r w:rsidRPr="00C0681C">
        <w:t>pieprasījumietaisēm</w:t>
      </w:r>
      <w:proofErr w:type="spellEnd"/>
      <w:r w:rsidRPr="00C0681C">
        <w:t xml:space="preserve"> un pārvades sistēmai pieslēgtām sadales sistēmām jāspēj saglabāt darbību stacionārā režīmā to </w:t>
      </w:r>
      <w:proofErr w:type="spellStart"/>
      <w:r w:rsidRPr="00C0681C">
        <w:t>pieslēgumpunktā</w:t>
      </w:r>
      <w:proofErr w:type="spellEnd"/>
      <w:r w:rsidRPr="00C0681C">
        <w:t xml:space="preserve"> reaktīvās jaudas diapazonā</w:t>
      </w:r>
      <w:r w:rsidR="004B294D" w:rsidRPr="00C0681C">
        <w:t xml:space="preserve"> atbilstīgi šādiem nosacījumiem</w:t>
      </w:r>
      <w:r w:rsidRPr="00C0681C">
        <w:t>:</w:t>
      </w:r>
    </w:p>
    <w:p w14:paraId="679822BC" w14:textId="77777777" w:rsidR="007A00E3" w:rsidRPr="00C0681C" w:rsidRDefault="00507DA3" w:rsidP="007A00E3">
      <w:pPr>
        <w:pStyle w:val="Apakpunkti"/>
        <w:numPr>
          <w:ilvl w:val="1"/>
          <w:numId w:val="35"/>
        </w:numPr>
        <w:ind w:left="993" w:hanging="567"/>
      </w:pPr>
      <w:r w:rsidRPr="00C0681C">
        <w:t xml:space="preserve">pārvades sistēmai pieslēgtām </w:t>
      </w:r>
      <w:proofErr w:type="spellStart"/>
      <w:r w:rsidRPr="00C0681C">
        <w:t>pieprasījumietaisēm</w:t>
      </w:r>
      <w:proofErr w:type="spellEnd"/>
      <w:r w:rsidRPr="00C0681C">
        <w:t xml:space="preserve"> faktiskais reaktīvās jaudas diapazons importam un eksportam, nedrīkst būt lielāks par 48 % no to maksimālās importa jaudas</w:t>
      </w:r>
      <w:r w:rsidRPr="00C0681C">
        <w:rPr>
          <w:spacing w:val="-25"/>
        </w:rPr>
        <w:t xml:space="preserve"> </w:t>
      </w:r>
      <w:r w:rsidRPr="00C0681C">
        <w:t>vai maksimālās</w:t>
      </w:r>
      <w:r w:rsidRPr="00C0681C">
        <w:rPr>
          <w:spacing w:val="-10"/>
        </w:rPr>
        <w:t xml:space="preserve"> </w:t>
      </w:r>
      <w:r w:rsidRPr="00C0681C">
        <w:t>eksporta</w:t>
      </w:r>
      <w:r w:rsidRPr="00C0681C">
        <w:rPr>
          <w:spacing w:val="-12"/>
        </w:rPr>
        <w:t xml:space="preserve"> </w:t>
      </w:r>
      <w:r w:rsidRPr="00C0681C">
        <w:t>jaudas</w:t>
      </w:r>
      <w:r w:rsidRPr="00C0681C">
        <w:rPr>
          <w:spacing w:val="-12"/>
        </w:rPr>
        <w:t xml:space="preserve"> </w:t>
      </w:r>
      <w:r w:rsidRPr="00C0681C">
        <w:t>(atkarībā</w:t>
      </w:r>
      <w:r w:rsidRPr="00C0681C">
        <w:rPr>
          <w:spacing w:val="-11"/>
        </w:rPr>
        <w:t xml:space="preserve"> </w:t>
      </w:r>
      <w:r w:rsidRPr="00C0681C">
        <w:t>no</w:t>
      </w:r>
      <w:r w:rsidRPr="00C0681C">
        <w:rPr>
          <w:spacing w:val="-12"/>
        </w:rPr>
        <w:t xml:space="preserve"> </w:t>
      </w:r>
      <w:r w:rsidRPr="00C0681C">
        <w:t>tā,</w:t>
      </w:r>
      <w:r w:rsidRPr="00C0681C">
        <w:rPr>
          <w:spacing w:val="-12"/>
        </w:rPr>
        <w:t xml:space="preserve"> </w:t>
      </w:r>
      <w:r w:rsidRPr="00C0681C">
        <w:t>kura</w:t>
      </w:r>
      <w:r w:rsidRPr="00C0681C">
        <w:rPr>
          <w:spacing w:val="-12"/>
        </w:rPr>
        <w:t xml:space="preserve"> </w:t>
      </w:r>
      <w:r w:rsidRPr="00C0681C">
        <w:t>lielāka)</w:t>
      </w:r>
      <w:r w:rsidRPr="00C0681C">
        <w:rPr>
          <w:spacing w:val="-11"/>
        </w:rPr>
        <w:t xml:space="preserve"> </w:t>
      </w:r>
      <w:r w:rsidRPr="00C0681C">
        <w:t>jeb</w:t>
      </w:r>
      <w:r w:rsidRPr="00C0681C">
        <w:rPr>
          <w:spacing w:val="-12"/>
        </w:rPr>
        <w:t xml:space="preserve"> </w:t>
      </w:r>
      <w:r w:rsidRPr="00C0681C">
        <w:t>pārsniegt</w:t>
      </w:r>
      <w:r w:rsidRPr="00C0681C">
        <w:rPr>
          <w:spacing w:val="-11"/>
        </w:rPr>
        <w:t xml:space="preserve"> </w:t>
      </w:r>
      <w:r w:rsidRPr="00C0681C">
        <w:t>importa</w:t>
      </w:r>
      <w:r w:rsidRPr="00C0681C">
        <w:rPr>
          <w:spacing w:val="-12"/>
        </w:rPr>
        <w:t xml:space="preserve"> </w:t>
      </w:r>
      <w:r w:rsidRPr="00C0681C">
        <w:t>vai</w:t>
      </w:r>
      <w:r w:rsidRPr="00C0681C">
        <w:rPr>
          <w:spacing w:val="-12"/>
        </w:rPr>
        <w:t xml:space="preserve"> </w:t>
      </w:r>
      <w:r w:rsidRPr="00C0681C">
        <w:t>eksporta</w:t>
      </w:r>
      <w:r w:rsidRPr="00C0681C">
        <w:rPr>
          <w:spacing w:val="-11"/>
        </w:rPr>
        <w:t xml:space="preserve"> </w:t>
      </w:r>
      <w:r w:rsidRPr="00C0681C">
        <w:t>aktīvās</w:t>
      </w:r>
      <w:r w:rsidRPr="00C0681C">
        <w:rPr>
          <w:spacing w:val="-11"/>
        </w:rPr>
        <w:t xml:space="preserve"> </w:t>
      </w:r>
      <w:r w:rsidRPr="00C0681C">
        <w:t>jaudas</w:t>
      </w:r>
      <w:r w:rsidRPr="00C0681C">
        <w:rPr>
          <w:spacing w:val="-12"/>
        </w:rPr>
        <w:t xml:space="preserve"> </w:t>
      </w:r>
      <w:r w:rsidRPr="00C0681C">
        <w:t>koeficientu 0,9;</w:t>
      </w:r>
    </w:p>
    <w:p w14:paraId="52796335" w14:textId="77777777" w:rsidR="007A00E3" w:rsidRPr="00C0681C" w:rsidRDefault="00507DA3" w:rsidP="007A00E3">
      <w:pPr>
        <w:pStyle w:val="Apakpunkti"/>
        <w:numPr>
          <w:ilvl w:val="1"/>
          <w:numId w:val="35"/>
        </w:numPr>
        <w:ind w:left="993" w:hanging="567"/>
      </w:pPr>
      <w:r w:rsidRPr="00C0681C">
        <w:t>pārvades</w:t>
      </w:r>
      <w:r w:rsidRPr="00C0681C">
        <w:rPr>
          <w:spacing w:val="-6"/>
        </w:rPr>
        <w:t xml:space="preserve"> </w:t>
      </w:r>
      <w:r w:rsidRPr="00C0681C">
        <w:t>sistēmai</w:t>
      </w:r>
      <w:r w:rsidRPr="00C0681C">
        <w:rPr>
          <w:spacing w:val="-6"/>
        </w:rPr>
        <w:t xml:space="preserve"> </w:t>
      </w:r>
      <w:r w:rsidRPr="00C0681C">
        <w:t>pieslēgtām</w:t>
      </w:r>
      <w:r w:rsidRPr="00C0681C">
        <w:rPr>
          <w:spacing w:val="-5"/>
        </w:rPr>
        <w:t xml:space="preserve"> </w:t>
      </w:r>
      <w:r w:rsidRPr="00C0681C">
        <w:t>sadales</w:t>
      </w:r>
      <w:r w:rsidRPr="00C0681C">
        <w:rPr>
          <w:spacing w:val="-6"/>
        </w:rPr>
        <w:t xml:space="preserve"> </w:t>
      </w:r>
      <w:r w:rsidRPr="00C0681C">
        <w:t>sistēmām</w:t>
      </w:r>
      <w:r w:rsidRPr="00C0681C">
        <w:rPr>
          <w:spacing w:val="-5"/>
        </w:rPr>
        <w:t xml:space="preserve"> </w:t>
      </w:r>
      <w:r w:rsidRPr="00C0681C">
        <w:t>faktiskais</w:t>
      </w:r>
      <w:r w:rsidRPr="00C0681C">
        <w:rPr>
          <w:spacing w:val="-6"/>
        </w:rPr>
        <w:t xml:space="preserve"> </w:t>
      </w:r>
      <w:r w:rsidRPr="00C0681C">
        <w:t>reaktīvās</w:t>
      </w:r>
      <w:r w:rsidRPr="00C0681C">
        <w:rPr>
          <w:spacing w:val="-6"/>
        </w:rPr>
        <w:t xml:space="preserve"> </w:t>
      </w:r>
      <w:r w:rsidRPr="00C0681C">
        <w:t>jaudas</w:t>
      </w:r>
      <w:r w:rsidRPr="00C0681C">
        <w:rPr>
          <w:spacing w:val="-5"/>
        </w:rPr>
        <w:t xml:space="preserve"> </w:t>
      </w:r>
      <w:r w:rsidRPr="00C0681C">
        <w:t>diapazons importam</w:t>
      </w:r>
      <w:r w:rsidRPr="00C0681C">
        <w:rPr>
          <w:spacing w:val="-10"/>
        </w:rPr>
        <w:t xml:space="preserve"> </w:t>
      </w:r>
      <w:r w:rsidRPr="00C0681C">
        <w:t>un</w:t>
      </w:r>
      <w:r w:rsidRPr="00C0681C">
        <w:rPr>
          <w:spacing w:val="-10"/>
        </w:rPr>
        <w:t xml:space="preserve"> </w:t>
      </w:r>
      <w:r w:rsidRPr="00C0681C">
        <w:t>eksportam,</w:t>
      </w:r>
      <w:r w:rsidRPr="00C0681C">
        <w:rPr>
          <w:spacing w:val="-9"/>
        </w:rPr>
        <w:t xml:space="preserve"> </w:t>
      </w:r>
      <w:r w:rsidRPr="00C0681C">
        <w:t>nedrīkst</w:t>
      </w:r>
      <w:r w:rsidRPr="00C0681C">
        <w:rPr>
          <w:spacing w:val="-8"/>
        </w:rPr>
        <w:t xml:space="preserve"> </w:t>
      </w:r>
      <w:r w:rsidRPr="00C0681C">
        <w:t>būt</w:t>
      </w:r>
      <w:r w:rsidRPr="00C0681C">
        <w:rPr>
          <w:spacing w:val="-10"/>
        </w:rPr>
        <w:t xml:space="preserve"> </w:t>
      </w:r>
      <w:r w:rsidRPr="00C0681C">
        <w:t>plašāks</w:t>
      </w:r>
      <w:r w:rsidRPr="00C0681C">
        <w:rPr>
          <w:spacing w:val="-10"/>
        </w:rPr>
        <w:t xml:space="preserve"> </w:t>
      </w:r>
      <w:r w:rsidRPr="00C0681C">
        <w:t>par:</w:t>
      </w:r>
    </w:p>
    <w:p w14:paraId="15DFCB16" w14:textId="77777777" w:rsidR="007A00E3" w:rsidRPr="00C0681C" w:rsidRDefault="00507DA3" w:rsidP="007A00E3">
      <w:pPr>
        <w:pStyle w:val="Apakpunkti"/>
        <w:numPr>
          <w:ilvl w:val="2"/>
          <w:numId w:val="35"/>
        </w:numPr>
        <w:ind w:left="1701"/>
      </w:pPr>
      <w:r w:rsidRPr="00C0681C">
        <w:t xml:space="preserve">48 % (t. i., jaudas koeficientu 0,9) no maksimālās importa jaudas vai maksimālās eksporta jaudas (atkarībā no tā, kura lielāka) reaktīvās jaudas importēšanas (patēriņa) laikā; </w:t>
      </w:r>
      <w:r w:rsidRPr="00C0681C">
        <w:rPr>
          <w:spacing w:val="33"/>
        </w:rPr>
        <w:t xml:space="preserve"> </w:t>
      </w:r>
      <w:r w:rsidRPr="00C0681C">
        <w:t>un</w:t>
      </w:r>
    </w:p>
    <w:p w14:paraId="457ED4DF" w14:textId="1B2DDEEE" w:rsidR="00507DA3" w:rsidRPr="00C0681C" w:rsidRDefault="00507DA3" w:rsidP="007A00E3">
      <w:pPr>
        <w:pStyle w:val="Apakpunkti"/>
        <w:numPr>
          <w:ilvl w:val="2"/>
          <w:numId w:val="35"/>
        </w:numPr>
        <w:ind w:left="1701"/>
      </w:pPr>
      <w:r w:rsidRPr="00C0681C">
        <w:t>48 % (t. i., jaudas koeficientu 0,9) no maksimālās importa jaudas vai maksimālās eksporta jaudas (atkarībā no tā, kura lielāka) reaktīvās jaudas eksportēšanas (ražošanas) laikā.</w:t>
      </w:r>
    </w:p>
    <w:p w14:paraId="2DB94C99" w14:textId="7B99B6F1" w:rsidR="006B1FB0" w:rsidRPr="00C0681C" w:rsidRDefault="00C0681C" w:rsidP="00E51A9D">
      <w:pPr>
        <w:pStyle w:val="ApakApakpunkti"/>
      </w:pPr>
      <w:r w:rsidRPr="00C0681C">
        <w:rPr>
          <w:rFonts w:cstheme="minorBidi"/>
          <w:color w:val="353838"/>
          <w:szCs w:val="22"/>
        </w:rPr>
        <w:lastRenderedPageBreak/>
        <w:t xml:space="preserve">Neatkarīgi no 12.punktā noteiktajām prasībām attiecībā uz reaktīvo jaudu, pārvades sistēmai pieslēgtām </w:t>
      </w:r>
      <w:proofErr w:type="spellStart"/>
      <w:r w:rsidRPr="00C0681C">
        <w:rPr>
          <w:rFonts w:cstheme="minorBidi"/>
          <w:color w:val="353838"/>
          <w:szCs w:val="22"/>
        </w:rPr>
        <w:t>pieprasījumietaisēm</w:t>
      </w:r>
      <w:proofErr w:type="spellEnd"/>
      <w:r w:rsidRPr="00C0681C">
        <w:rPr>
          <w:rFonts w:cstheme="minorBidi"/>
          <w:color w:val="353838"/>
          <w:szCs w:val="22"/>
        </w:rPr>
        <w:t xml:space="preserve"> un pārvades sistēmai pieslēgtām sadales sistēmām, atbilstoši Latvijas Republikas normatīvajiem aktiem, var tikt piemērota maksa par reaktīvās enerģijas importu vai eksportu.</w:t>
      </w:r>
    </w:p>
    <w:p w14:paraId="091772F5" w14:textId="77777777" w:rsidR="00F77A43" w:rsidRPr="00C0681C" w:rsidRDefault="00F77A43" w:rsidP="00F77A43">
      <w:pPr>
        <w:pStyle w:val="Apakpunkti"/>
        <w:numPr>
          <w:ilvl w:val="0"/>
          <w:numId w:val="0"/>
        </w:numPr>
        <w:rPr>
          <w:lang w:eastAsia="en-US"/>
        </w:rPr>
      </w:pPr>
    </w:p>
    <w:p w14:paraId="38BC5E67" w14:textId="77777777" w:rsidR="00507DA3" w:rsidRPr="00C0681C" w:rsidRDefault="00507DA3" w:rsidP="004A723C">
      <w:pPr>
        <w:pStyle w:val="Heading4"/>
      </w:pPr>
      <w:r w:rsidRPr="00C0681C">
        <w:t xml:space="preserve">Prasības </w:t>
      </w:r>
      <w:r w:rsidR="00892487" w:rsidRPr="00C0681C">
        <w:t xml:space="preserve">releju </w:t>
      </w:r>
      <w:r w:rsidRPr="00C0681C">
        <w:t>aizsardzīb</w:t>
      </w:r>
      <w:r w:rsidR="00326C59" w:rsidRPr="00C0681C">
        <w:t>ai</w:t>
      </w:r>
      <w:r w:rsidR="00892487" w:rsidRPr="00C0681C">
        <w:t xml:space="preserve"> un automātik</w:t>
      </w:r>
      <w:r w:rsidR="00326C59" w:rsidRPr="00C0681C">
        <w:t>ai</w:t>
      </w:r>
    </w:p>
    <w:p w14:paraId="2D7E6093" w14:textId="77777777" w:rsidR="006B1FB0" w:rsidRPr="00C0681C" w:rsidRDefault="006B1FB0" w:rsidP="00E51A9D">
      <w:pPr>
        <w:rPr>
          <w:lang w:eastAsia="lv-LV"/>
        </w:rPr>
      </w:pPr>
    </w:p>
    <w:p w14:paraId="644BA1FF" w14:textId="77777777" w:rsidR="00507DA3" w:rsidRPr="00C0681C" w:rsidRDefault="00507DA3" w:rsidP="009073AC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16.panta 1.punktu, 4.punktu un 17.pant</w:t>
      </w:r>
      <w:r w:rsidR="008D4493" w:rsidRPr="00C0681C">
        <w:rPr>
          <w:b/>
        </w:rPr>
        <w:t>a 1.punktu, 3.punktu</w:t>
      </w:r>
      <w:r w:rsidR="008D4493" w:rsidRPr="00C0681C">
        <w:t xml:space="preserve">  PSO norādot</w:t>
      </w:r>
      <w:r w:rsidRPr="00C0681C">
        <w:t xml:space="preserve"> releju aizsardzību un automātiku ierī</w:t>
      </w:r>
      <w:r w:rsidR="008D4493" w:rsidRPr="00C0681C">
        <w:t>ču iestatījumus ievēro šādus principus:</w:t>
      </w:r>
    </w:p>
    <w:p w14:paraId="44928F20" w14:textId="77777777" w:rsidR="0064119A" w:rsidRPr="00C0681C" w:rsidRDefault="0064119A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>Pārvades sistēmas pieslēguma iekārtai līdz pieslēguma robežai (</w:t>
      </w:r>
      <w:r w:rsidR="00653134" w:rsidRPr="00C0681C">
        <w:t>līdz pieslēguma punktam</w:t>
      </w:r>
      <w:r w:rsidRPr="00C0681C">
        <w:t xml:space="preserve">), kur pārvades sistēmai pieslēgtas </w:t>
      </w:r>
      <w:proofErr w:type="spellStart"/>
      <w:r w:rsidRPr="00C0681C">
        <w:t>pieprasījumietaises</w:t>
      </w:r>
      <w:proofErr w:type="spellEnd"/>
      <w:r w:rsidRPr="00C0681C">
        <w:t xml:space="preserve"> vai sadales sistēmas,  releju aizsardzību un automātiku iestatījumus </w:t>
      </w:r>
      <w:r w:rsidR="00653134" w:rsidRPr="00C0681C">
        <w:t xml:space="preserve">un iedarbes </w:t>
      </w:r>
      <w:r w:rsidRPr="00C0681C">
        <w:t>nosaka PSO;</w:t>
      </w:r>
    </w:p>
    <w:p w14:paraId="45899026" w14:textId="2BF80130" w:rsidR="00E76B63" w:rsidRPr="00C0681C" w:rsidRDefault="00507DA3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 xml:space="preserve">Pārvades sistēmai pieslēgtas </w:t>
      </w:r>
      <w:proofErr w:type="spellStart"/>
      <w:r w:rsidRPr="00C0681C">
        <w:t>pieprasījumietaises</w:t>
      </w:r>
      <w:proofErr w:type="spellEnd"/>
      <w:r w:rsidRPr="00C0681C">
        <w:t xml:space="preserve"> iekārtai vai pārvades sistēmai pieslēgtas sadales sistēmas iekārtai releju aizsardzību un automātiku iestatījumus</w:t>
      </w:r>
      <w:r w:rsidR="007A368E" w:rsidRPr="00C0681C">
        <w:t xml:space="preserve"> un iedarbes</w:t>
      </w:r>
      <w:r w:rsidRPr="00C0681C">
        <w:t xml:space="preserve"> nosaka</w:t>
      </w:r>
      <w:r w:rsidR="0064119A" w:rsidRPr="00C0681C">
        <w:t xml:space="preserve"> pieslēgtas iekārtas īpašnieks;</w:t>
      </w:r>
    </w:p>
    <w:p w14:paraId="496BCD42" w14:textId="1B31C839" w:rsidR="007A368E" w:rsidRPr="00C0681C" w:rsidRDefault="007A368E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 xml:space="preserve">PSO iekārtai, pārvades sistēmai pieslēgtas </w:t>
      </w:r>
      <w:proofErr w:type="spellStart"/>
      <w:r w:rsidRPr="00C0681C">
        <w:t>pieprasījumietaises</w:t>
      </w:r>
      <w:proofErr w:type="spellEnd"/>
      <w:r w:rsidRPr="00C0681C">
        <w:t xml:space="preserve"> iekārtai un pārvades sistēmai pieslēgtas sadales sistēmas iekārtai jāparedz releju aizsardzības un automātikas, kas darbojas pie dažāda veida traucējumiem: pie </w:t>
      </w:r>
      <w:proofErr w:type="spellStart"/>
      <w:r w:rsidRPr="00C0681C">
        <w:t>īsslēgumiem</w:t>
      </w:r>
      <w:proofErr w:type="spellEnd"/>
      <w:r w:rsidRPr="00C0681C">
        <w:t xml:space="preserve">, pie iekārtas nepieļaujamām strāvas pārslodzēm, pie </w:t>
      </w:r>
      <w:proofErr w:type="spellStart"/>
      <w:r w:rsidRPr="00C0681C">
        <w:t>nepilnfāzes</w:t>
      </w:r>
      <w:proofErr w:type="spellEnd"/>
      <w:r w:rsidRPr="00C0681C">
        <w:t xml:space="preserve"> darbības režīmiem, pie transformatoru un </w:t>
      </w:r>
      <w:proofErr w:type="spellStart"/>
      <w:r w:rsidRPr="00C0681C">
        <w:t>autotransformatoru</w:t>
      </w:r>
      <w:proofErr w:type="spellEnd"/>
      <w:r w:rsidRPr="00C0681C">
        <w:t xml:space="preserve"> nepieļaujamas </w:t>
      </w:r>
      <w:proofErr w:type="spellStart"/>
      <w:r w:rsidRPr="00C0681C">
        <w:t>pārierosmes</w:t>
      </w:r>
      <w:proofErr w:type="spellEnd"/>
      <w:r w:rsidRPr="00C0681C">
        <w:t xml:space="preserve"> (U/f funkcija), pie nepieļaujamiem pārspriegumiem, pie nesinhronas ar pārvades tīklu darbības, pie nepieļaujamām slodzes strāvas </w:t>
      </w:r>
      <w:proofErr w:type="spellStart"/>
      <w:r w:rsidRPr="00C0681C">
        <w:t>nesimetrijām</w:t>
      </w:r>
      <w:proofErr w:type="spellEnd"/>
      <w:r w:rsidR="00653134" w:rsidRPr="00C0681C">
        <w:t>;</w:t>
      </w:r>
    </w:p>
    <w:p w14:paraId="47AE3372" w14:textId="6FA86A3E" w:rsidR="007A368E" w:rsidRPr="00C0681C" w:rsidRDefault="007A368E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 xml:space="preserve">Pārvades sistēmai pieslēgtas </w:t>
      </w:r>
      <w:proofErr w:type="spellStart"/>
      <w:r w:rsidRPr="00C0681C">
        <w:t>pieprasījumietaises</w:t>
      </w:r>
      <w:proofErr w:type="spellEnd"/>
      <w:r w:rsidRPr="00C0681C">
        <w:t xml:space="preserve"> iekārtai un pārvades sistēmai pieslēgtas sadales sistēmas iekārtai jāparedz pamata releju aizsardzības un rezerves releju aizsardzības. Par pamata releju </w:t>
      </w:r>
      <w:proofErr w:type="spellStart"/>
      <w:r w:rsidRPr="00C0681C">
        <w:t>aizsardzībām</w:t>
      </w:r>
      <w:proofErr w:type="spellEnd"/>
      <w:r w:rsidRPr="00C0681C">
        <w:t xml:space="preserve"> tiek uzskatītas tādas aizsardzības, kas aizsargā pieslēgtu pievienojumu pie dažāda </w:t>
      </w:r>
      <w:r w:rsidR="00E51110" w:rsidRPr="00C0681C">
        <w:t xml:space="preserve">veida </w:t>
      </w:r>
      <w:proofErr w:type="spellStart"/>
      <w:r w:rsidR="00E51110" w:rsidRPr="00C0681C">
        <w:t>īsslēgumiem</w:t>
      </w:r>
      <w:proofErr w:type="spellEnd"/>
      <w:r w:rsidR="00E51110" w:rsidRPr="00C0681C">
        <w:t xml:space="preserve"> tajā bez </w:t>
      </w:r>
      <w:proofErr w:type="spellStart"/>
      <w:r w:rsidR="00E51110" w:rsidRPr="00C0681C">
        <w:t>laik</w:t>
      </w:r>
      <w:r w:rsidRPr="00C0681C">
        <w:t>iztures</w:t>
      </w:r>
      <w:proofErr w:type="spellEnd"/>
      <w:r w:rsidRPr="00C0681C">
        <w:t xml:space="preserve"> vai, kas ir vienīga pievienojuma aizsardzība pie konkrēta traucējuma veida. </w:t>
      </w:r>
      <w:r w:rsidR="007F0AC5" w:rsidRPr="00C0681C">
        <w:t>Pievienojuma r</w:t>
      </w:r>
      <w:r w:rsidRPr="00C0681C">
        <w:t xml:space="preserve">ezerves releju aizsardzības </w:t>
      </w:r>
      <w:r w:rsidR="002F594A" w:rsidRPr="00C0681C">
        <w:t>tehniski iespējamā apjomā</w:t>
      </w:r>
      <w:r w:rsidR="00796F77" w:rsidRPr="00C0681C">
        <w:t xml:space="preserve"> </w:t>
      </w:r>
      <w:r w:rsidRPr="00C0681C">
        <w:t xml:space="preserve">rezervē </w:t>
      </w:r>
      <w:r w:rsidR="007F0AC5" w:rsidRPr="00C0681C">
        <w:t>sava</w:t>
      </w:r>
      <w:r w:rsidR="007B5862" w:rsidRPr="00C0681C">
        <w:t xml:space="preserve"> pievienojuma </w:t>
      </w:r>
      <w:r w:rsidR="007F0AC5" w:rsidRPr="00C0681C">
        <w:t xml:space="preserve">pamata releju aizsardzības, kā arī </w:t>
      </w:r>
      <w:r w:rsidR="002F594A" w:rsidRPr="00C0681C">
        <w:t>blakus</w:t>
      </w:r>
      <w:r w:rsidR="007B5862" w:rsidRPr="00C0681C">
        <w:t xml:space="preserve"> </w:t>
      </w:r>
      <w:r w:rsidR="005F3527" w:rsidRPr="00C0681C">
        <w:t xml:space="preserve">elektrotīkla </w:t>
      </w:r>
      <w:r w:rsidR="007B5862" w:rsidRPr="00C0681C">
        <w:t>pievienojum</w:t>
      </w:r>
      <w:r w:rsidR="005F56E6" w:rsidRPr="00C0681C">
        <w:t>u</w:t>
      </w:r>
      <w:r w:rsidRPr="00C0681C">
        <w:t xml:space="preserve"> pamata un rezerves releju aizsardzības to atteikuma gadījumā</w:t>
      </w:r>
      <w:r w:rsidR="00653134" w:rsidRPr="00C0681C">
        <w:t>;</w:t>
      </w:r>
    </w:p>
    <w:p w14:paraId="00F8676C" w14:textId="0A45759E" w:rsidR="0064119A" w:rsidRPr="00C0681C" w:rsidRDefault="0064119A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>PSO iekārtai releju aizsardzību un automātiku iestatījumus un iedarbes PSO nosaka releju aizsardzību un automātiku iestatījumu kartēs;</w:t>
      </w:r>
    </w:p>
    <w:p w14:paraId="54A446E4" w14:textId="7A3EB588" w:rsidR="007A368E" w:rsidRPr="00C0681C" w:rsidRDefault="007A368E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 xml:space="preserve">Pārvades sistēmai pieslēgtas </w:t>
      </w:r>
      <w:proofErr w:type="spellStart"/>
      <w:r w:rsidRPr="00C0681C">
        <w:t>pieprasījumietaises</w:t>
      </w:r>
      <w:proofErr w:type="spellEnd"/>
      <w:r w:rsidRPr="00C0681C">
        <w:t xml:space="preserve"> iekārtas un pārvades sistēmai pieslēgtas sadales sistēmas iekārtas īpašniekam jāparedz automātikas, kas nodrošina automātisko atslodzi pēc frekvences un automātisko atslodzi pēc sprieguma ar automātisko iekārtas </w:t>
      </w:r>
      <w:proofErr w:type="spellStart"/>
      <w:r w:rsidRPr="00C0681C">
        <w:t>atpakaļieslēgšanos</w:t>
      </w:r>
      <w:proofErr w:type="spellEnd"/>
      <w:r w:rsidRPr="00C0681C">
        <w:t>, atjaunojoties frekvencei un spriegumam. Abu automātiku iestatījumus un atslēdzamas slodzes apjomus nosaka PSO, vienojoties par apjomiem</w:t>
      </w:r>
      <w:r w:rsidR="00653134" w:rsidRPr="00C0681C">
        <w:t xml:space="preserve"> ar iekārtas īpašnieku</w:t>
      </w:r>
      <w:r w:rsidR="007B5862" w:rsidRPr="00C0681C">
        <w:t>, ņemot vērā 1</w:t>
      </w:r>
      <w:r w:rsidR="00106E6C" w:rsidRPr="00C0681C">
        <w:t>8</w:t>
      </w:r>
      <w:r w:rsidR="007B5862" w:rsidRPr="00C0681C">
        <w:t>. punkta prasības</w:t>
      </w:r>
      <w:r w:rsidR="00653134" w:rsidRPr="00C0681C">
        <w:t>;</w:t>
      </w:r>
    </w:p>
    <w:p w14:paraId="3D407C8F" w14:textId="7CFA613F" w:rsidR="009073AC" w:rsidRPr="00C0681C" w:rsidRDefault="007A368E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>PSO un pieslēgtas iekārtas īpašnieks savstarpēji saskaņo releju aizsardzību un automātiku iestatījumus un iedarbes iekārtai, lai nodrošinātu  to savstarpēji selektīvu darbību pie 13.</w:t>
      </w:r>
      <w:r w:rsidR="00653134" w:rsidRPr="00C0681C">
        <w:t>3</w:t>
      </w:r>
      <w:r w:rsidRPr="00C0681C">
        <w:t>. punktā norādītajiem traucējumiem pārvades tīklā un</w:t>
      </w:r>
      <w:r w:rsidR="00653134" w:rsidRPr="00C0681C">
        <w:t xml:space="preserve"> īpašnieka iekārtā</w:t>
      </w:r>
      <w:r w:rsidR="00E51A9D" w:rsidRPr="00C0681C">
        <w:t>;</w:t>
      </w:r>
    </w:p>
    <w:p w14:paraId="6DF7562F" w14:textId="6B728FC9" w:rsidR="007A368E" w:rsidRPr="00C0681C" w:rsidRDefault="007A368E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lastRenderedPageBreak/>
        <w:t xml:space="preserve">PSO un </w:t>
      </w:r>
      <w:r w:rsidR="00C71154" w:rsidRPr="00C0681C">
        <w:t xml:space="preserve">pieslēgtas iekārtas </w:t>
      </w:r>
      <w:r w:rsidRPr="00C0681C">
        <w:t xml:space="preserve">īpašnieka releju </w:t>
      </w:r>
      <w:proofErr w:type="spellStart"/>
      <w:r w:rsidRPr="00C0681C">
        <w:t>aizsardzībām</w:t>
      </w:r>
      <w:proofErr w:type="spellEnd"/>
      <w:r w:rsidRPr="00C0681C">
        <w:t xml:space="preserve"> jāatslēdz bez </w:t>
      </w:r>
      <w:proofErr w:type="spellStart"/>
      <w:r w:rsidR="00E51110" w:rsidRPr="00C0681C">
        <w:t>laikiztures</w:t>
      </w:r>
      <w:proofErr w:type="spellEnd"/>
      <w:r w:rsidR="00E51110" w:rsidRPr="00C0681C">
        <w:t xml:space="preserve"> </w:t>
      </w:r>
      <w:proofErr w:type="spellStart"/>
      <w:r w:rsidRPr="00C0681C">
        <w:t>īsslēgumi</w:t>
      </w:r>
      <w:proofErr w:type="spellEnd"/>
      <w:r w:rsidRPr="00C0681C">
        <w:t xml:space="preserve">, kas izraisa pieslēguma punktā fāzes vai starpfāzes sprieguma efektīvās vērtības pazemināšanos </w:t>
      </w:r>
      <w:r w:rsidR="00C71154" w:rsidRPr="00C0681C">
        <w:t xml:space="preserve">līdz </w:t>
      </w:r>
      <w:r w:rsidRPr="00C0681C">
        <w:t>0.6U</w:t>
      </w:r>
      <w:r w:rsidRPr="00C0681C">
        <w:rPr>
          <w:vertAlign w:val="subscript"/>
        </w:rPr>
        <w:t>nom</w:t>
      </w:r>
      <w:r w:rsidRPr="00C0681C">
        <w:t xml:space="preserve"> un zemāk</w:t>
      </w:r>
      <w:r w:rsidR="00653134" w:rsidRPr="00C0681C">
        <w:t>;</w:t>
      </w:r>
    </w:p>
    <w:p w14:paraId="44B239EB" w14:textId="77777777" w:rsidR="009073AC" w:rsidRPr="00C0681C" w:rsidRDefault="00507DA3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>Pieslēguma punkta iekārtas 110kV un 330kV j</w:t>
      </w:r>
      <w:r w:rsidR="008D4493" w:rsidRPr="00C0681C">
        <w:t>a</w:t>
      </w:r>
      <w:r w:rsidRPr="00C0681C">
        <w:t xml:space="preserve">udas slēdžiem, transformatoru un </w:t>
      </w:r>
      <w:proofErr w:type="spellStart"/>
      <w:r w:rsidRPr="00C0681C">
        <w:t>autotransformatoru</w:t>
      </w:r>
      <w:proofErr w:type="spellEnd"/>
      <w:r w:rsidRPr="00C0681C">
        <w:t xml:space="preserve"> vidējā un zemākā spriegumu jaudas slēdžiem jāparedz slēdžu bojājuma aizsardzība ar </w:t>
      </w:r>
      <w:proofErr w:type="spellStart"/>
      <w:r w:rsidRPr="00C0681C">
        <w:t>nostrādes</w:t>
      </w:r>
      <w:proofErr w:type="spellEnd"/>
      <w:r w:rsidRPr="00C0681C">
        <w:t xml:space="preserve"> laika ie</w:t>
      </w:r>
      <w:r w:rsidR="00E51A9D" w:rsidRPr="00C0681C">
        <w:t>statījumu ne lielāku par 0.15s;</w:t>
      </w:r>
    </w:p>
    <w:p w14:paraId="0464B4FB" w14:textId="3AAB1500" w:rsidR="00507DA3" w:rsidRPr="00C0681C" w:rsidRDefault="00507DA3" w:rsidP="00653134">
      <w:pPr>
        <w:pStyle w:val="ListParagraph"/>
        <w:numPr>
          <w:ilvl w:val="1"/>
          <w:numId w:val="35"/>
        </w:numPr>
        <w:ind w:left="1134" w:hanging="708"/>
      </w:pPr>
      <w:r w:rsidRPr="00C0681C">
        <w:t>Releju aizsardzību iestatījumi jāizvēlas tā, lai nodrošinātu pieslēguma punkta iekārt</w:t>
      </w:r>
      <w:r w:rsidR="004E05E2" w:rsidRPr="00C0681C">
        <w:t>u</w:t>
      </w:r>
      <w:r w:rsidRPr="00C0681C">
        <w:t xml:space="preserve"> termisko noturīb</w:t>
      </w:r>
      <w:r w:rsidR="004E05E2" w:rsidRPr="00C0681C">
        <w:t>u</w:t>
      </w:r>
      <w:r w:rsidRPr="00C0681C">
        <w:t xml:space="preserve"> pie </w:t>
      </w:r>
      <w:proofErr w:type="spellStart"/>
      <w:r w:rsidRPr="00C0681C">
        <w:t>īsslēgumiem</w:t>
      </w:r>
      <w:proofErr w:type="spellEnd"/>
      <w:r w:rsidRPr="00C0681C">
        <w:t xml:space="preserve">, </w:t>
      </w:r>
      <w:r w:rsidR="004E05E2" w:rsidRPr="00C0681C">
        <w:t xml:space="preserve">virs transformatoru un </w:t>
      </w:r>
      <w:proofErr w:type="spellStart"/>
      <w:r w:rsidR="004E05E2" w:rsidRPr="00C0681C">
        <w:t>autotransformatoru</w:t>
      </w:r>
      <w:proofErr w:type="spellEnd"/>
      <w:r w:rsidR="004E05E2" w:rsidRPr="00C0681C">
        <w:t xml:space="preserve"> pieļaujamās </w:t>
      </w:r>
      <w:proofErr w:type="spellStart"/>
      <w:r w:rsidR="00A178B8" w:rsidRPr="00C0681C">
        <w:t>pārierosmes</w:t>
      </w:r>
      <w:proofErr w:type="spellEnd"/>
      <w:r w:rsidR="00A178B8" w:rsidRPr="00C0681C">
        <w:t xml:space="preserve"> (</w:t>
      </w:r>
      <w:r w:rsidR="00A83D18" w:rsidRPr="00C0681C">
        <w:t>sprieguma</w:t>
      </w:r>
      <w:r w:rsidR="00A178B8" w:rsidRPr="00C0681C">
        <w:t>/</w:t>
      </w:r>
      <w:r w:rsidR="00A83D18" w:rsidRPr="00C0681C">
        <w:t xml:space="preserve">frekvences </w:t>
      </w:r>
      <w:r w:rsidRPr="00C0681C">
        <w:t xml:space="preserve">parametrs) novēršanu un </w:t>
      </w:r>
      <w:r w:rsidR="004E05E2" w:rsidRPr="00C0681C">
        <w:t xml:space="preserve">virs iekārtas pieļaujamās </w:t>
      </w:r>
      <w:r w:rsidRPr="00C0681C">
        <w:t>strāvas pārslodzes atslēgšanu.</w:t>
      </w:r>
    </w:p>
    <w:p w14:paraId="267FB509" w14:textId="77777777" w:rsidR="00BB1840" w:rsidRPr="00C0681C" w:rsidRDefault="00BB1840" w:rsidP="00E51A9D">
      <w:pPr>
        <w:rPr>
          <w:w w:val="90"/>
        </w:rPr>
      </w:pPr>
    </w:p>
    <w:p w14:paraId="0C50E86C" w14:textId="77777777" w:rsidR="00E16199" w:rsidRPr="00C0681C" w:rsidRDefault="00E16199" w:rsidP="004A723C">
      <w:pPr>
        <w:pStyle w:val="Heading4"/>
      </w:pPr>
      <w:r w:rsidRPr="00C0681C">
        <w:t>Informācijas  apmaiņa</w:t>
      </w:r>
    </w:p>
    <w:p w14:paraId="16F13C05" w14:textId="77777777" w:rsidR="00BB1840" w:rsidRPr="00C0681C" w:rsidRDefault="00BB1840" w:rsidP="00E51A9D">
      <w:pPr>
        <w:pStyle w:val="BodyText"/>
        <w:rPr>
          <w:lang w:val="lv-LV"/>
        </w:rPr>
      </w:pPr>
    </w:p>
    <w:p w14:paraId="3F985BEA" w14:textId="77777777" w:rsidR="00E16199" w:rsidRPr="00C0681C" w:rsidRDefault="00E16199" w:rsidP="009073AC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18.panta 1.,</w:t>
      </w:r>
      <w:r w:rsidR="00EC79E5" w:rsidRPr="00C0681C">
        <w:rPr>
          <w:b/>
        </w:rPr>
        <w:t xml:space="preserve"> </w:t>
      </w:r>
      <w:r w:rsidRPr="00C0681C">
        <w:rPr>
          <w:b/>
        </w:rPr>
        <w:t>2. un 3.punktu</w:t>
      </w:r>
      <w:r w:rsidRPr="00C0681C">
        <w:t xml:space="preserve"> informācijas apmaiņas standartus un iesniedzamos datus PSO izvieto un uztur </w:t>
      </w:r>
      <w:r w:rsidR="00561852" w:rsidRPr="00C0681C">
        <w:t xml:space="preserve">savā </w:t>
      </w:r>
      <w:r w:rsidRPr="00C0681C">
        <w:t>interneta mājas lapā.</w:t>
      </w:r>
    </w:p>
    <w:p w14:paraId="530B0084" w14:textId="77777777" w:rsidR="00BB1840" w:rsidRPr="00C0681C" w:rsidRDefault="00BB1840" w:rsidP="00E51A9D">
      <w:pPr>
        <w:pStyle w:val="BodyText"/>
        <w:rPr>
          <w:lang w:val="lv-LV"/>
        </w:rPr>
      </w:pPr>
    </w:p>
    <w:p w14:paraId="681F9FFE" w14:textId="77777777" w:rsidR="00E16199" w:rsidRPr="00C0681C" w:rsidRDefault="00E16199" w:rsidP="004A723C">
      <w:pPr>
        <w:pStyle w:val="Heading4"/>
      </w:pPr>
      <w:r w:rsidRPr="00C0681C">
        <w:t xml:space="preserve">Pieprasījuma atslēgšana un  </w:t>
      </w:r>
      <w:proofErr w:type="spellStart"/>
      <w:r w:rsidRPr="00C0681C">
        <w:t>atkalpieslēgšana</w:t>
      </w:r>
      <w:proofErr w:type="spellEnd"/>
    </w:p>
    <w:p w14:paraId="2049BD86" w14:textId="77777777" w:rsidR="00BB1840" w:rsidRPr="00C0681C" w:rsidRDefault="00BB1840" w:rsidP="00E51A9D"/>
    <w:p w14:paraId="47F886E2" w14:textId="6C73CB0E" w:rsidR="00E16199" w:rsidRPr="00C0681C" w:rsidRDefault="00E16199" w:rsidP="009073AC">
      <w:pPr>
        <w:pStyle w:val="ApakApakpunkti"/>
      </w:pPr>
      <w:r w:rsidRPr="00C0681C">
        <w:t>Saskaņā ar Regu</w:t>
      </w:r>
      <w:r w:rsidR="005F5419" w:rsidRPr="00C0681C">
        <w:t xml:space="preserve">las 2016/1388 </w:t>
      </w:r>
      <w:r w:rsidR="005F5419" w:rsidRPr="00C0681C">
        <w:rPr>
          <w:b/>
        </w:rPr>
        <w:t>19.panta 1.punktu</w:t>
      </w:r>
      <w:r w:rsidR="005F5419" w:rsidRPr="00C0681C">
        <w:t xml:space="preserve">, </w:t>
      </w:r>
      <w:r w:rsidRPr="00C0681C">
        <w:t>kas</w:t>
      </w:r>
      <w:r w:rsidRPr="00C0681C">
        <w:rPr>
          <w:spacing w:val="-17"/>
        </w:rPr>
        <w:t xml:space="preserve"> </w:t>
      </w:r>
      <w:r w:rsidRPr="00C0681C">
        <w:t>attiecas</w:t>
      </w:r>
      <w:r w:rsidRPr="00C0681C">
        <w:rPr>
          <w:spacing w:val="-17"/>
        </w:rPr>
        <w:t xml:space="preserve"> </w:t>
      </w:r>
      <w:r w:rsidRPr="00C0681C">
        <w:t>uz</w:t>
      </w:r>
      <w:r w:rsidRPr="00C0681C">
        <w:rPr>
          <w:spacing w:val="-16"/>
        </w:rPr>
        <w:t xml:space="preserve"> </w:t>
      </w:r>
      <w:r w:rsidRPr="00C0681C">
        <w:t>pieprasījuma</w:t>
      </w:r>
      <w:r w:rsidRPr="00C0681C">
        <w:rPr>
          <w:spacing w:val="-16"/>
        </w:rPr>
        <w:t xml:space="preserve"> </w:t>
      </w:r>
      <w:r w:rsidRPr="00C0681C">
        <w:t>atslēgšanu</w:t>
      </w:r>
      <w:r w:rsidRPr="00C0681C">
        <w:rPr>
          <w:spacing w:val="-16"/>
        </w:rPr>
        <w:t xml:space="preserve"> </w:t>
      </w:r>
      <w:r w:rsidRPr="00C0681C">
        <w:t>pie</w:t>
      </w:r>
      <w:r w:rsidRPr="00C0681C">
        <w:rPr>
          <w:spacing w:val="-17"/>
        </w:rPr>
        <w:t xml:space="preserve"> </w:t>
      </w:r>
      <w:r w:rsidRPr="00C0681C">
        <w:t>zemas</w:t>
      </w:r>
      <w:r w:rsidRPr="00C0681C">
        <w:rPr>
          <w:spacing w:val="-16"/>
        </w:rPr>
        <w:t xml:space="preserve"> </w:t>
      </w:r>
      <w:r w:rsidRPr="00C0681C">
        <w:t>frekvences</w:t>
      </w:r>
      <w:r w:rsidR="005F5419" w:rsidRPr="00C0681C">
        <w:t>,</w:t>
      </w:r>
      <w:r w:rsidR="008D4493" w:rsidRPr="00C0681C">
        <w:t xml:space="preserve"> </w:t>
      </w:r>
      <w:r w:rsidR="005F5419" w:rsidRPr="00C0681C">
        <w:t>v</w:t>
      </w:r>
      <w:r w:rsidRPr="00C0681C">
        <w:t xml:space="preserve">isām pārvades sistēmai pieslēgtām </w:t>
      </w:r>
      <w:proofErr w:type="spellStart"/>
      <w:r w:rsidRPr="00C0681C">
        <w:t>pieprasījumietaisēm</w:t>
      </w:r>
      <w:proofErr w:type="spellEnd"/>
      <w:r w:rsidRPr="00C0681C">
        <w:t>, pārvades sistēmai pieslēgtām sadales sistēmām</w:t>
      </w:r>
      <w:r w:rsidR="00A87C35" w:rsidRPr="00C0681C">
        <w:t xml:space="preserve"> jābūt aprīkotām ar iekārtu</w:t>
      </w:r>
      <w:r w:rsidR="0009128E" w:rsidRPr="00C0681C">
        <w:t xml:space="preserve"> ar funkcionālu spēju</w:t>
      </w:r>
      <w:r w:rsidR="00A87C35" w:rsidRPr="00C0681C">
        <w:t xml:space="preserve"> automātiski atslēgt 100% </w:t>
      </w:r>
      <w:r w:rsidR="001923B0" w:rsidRPr="00C0681C">
        <w:t xml:space="preserve">faktisko </w:t>
      </w:r>
      <w:r w:rsidR="00A87C35" w:rsidRPr="00C0681C">
        <w:t>slodzi pie pazeminātas frekvences</w:t>
      </w:r>
      <w:r w:rsidR="002567AD" w:rsidRPr="00C0681C">
        <w:t xml:space="preserve"> un atslēgšanās palaidi, kas balstīta uz zemas frekvences</w:t>
      </w:r>
      <w:r w:rsidR="0048531E" w:rsidRPr="00C0681C">
        <w:t>, kā arī zemas frekvences</w:t>
      </w:r>
      <w:r w:rsidR="002567AD" w:rsidRPr="00C0681C">
        <w:t xml:space="preserve"> un frekvences izmaiņas ātruma apvienojumu</w:t>
      </w:r>
      <w:r w:rsidR="00A87C35" w:rsidRPr="00C0681C">
        <w:t>.</w:t>
      </w:r>
      <w:r w:rsidRPr="00C0681C">
        <w:t xml:space="preserve"> </w:t>
      </w:r>
      <w:r w:rsidR="0048531E" w:rsidRPr="00C0681C">
        <w:t xml:space="preserve">Iekārtā jāparedz iespēja izmainīt </w:t>
      </w:r>
      <w:proofErr w:type="spellStart"/>
      <w:r w:rsidR="0048531E" w:rsidRPr="00C0681C">
        <w:t>nostrādes</w:t>
      </w:r>
      <w:proofErr w:type="spellEnd"/>
      <w:r w:rsidR="0048531E" w:rsidRPr="00C0681C">
        <w:t xml:space="preserve"> iestatījumus diapazonā 47-50Hz ar soli ne lielāku par 0.05Hz</w:t>
      </w:r>
      <w:r w:rsidR="00DD2889" w:rsidRPr="00C0681C">
        <w:t xml:space="preserve"> un izveidot slodzes atslēgšanu pa pakāpēm</w:t>
      </w:r>
      <w:r w:rsidR="0048531E" w:rsidRPr="00C0681C">
        <w:t xml:space="preserve">. </w:t>
      </w:r>
      <w:r w:rsidR="001923B0" w:rsidRPr="00C0681C">
        <w:t>Šajā iekārtā jāaktivizē šī funkcija</w:t>
      </w:r>
      <w:r w:rsidRPr="00C0681C">
        <w:t xml:space="preserve"> vismaz 65% faktiskās slodzes pieprasījuma ietaišu atslēgšana</w:t>
      </w:r>
      <w:r w:rsidR="001923B0" w:rsidRPr="00C0681C">
        <w:t>i</w:t>
      </w:r>
      <w:r w:rsidR="00501844" w:rsidRPr="00C0681C">
        <w:t xml:space="preserve">. </w:t>
      </w:r>
      <w:r w:rsidR="00050942" w:rsidRPr="00C0681C">
        <w:t>Iestatījumus un iedarbes PSO, koordinējoties ar pārvades sistēmai pieslēgtu</w:t>
      </w:r>
      <w:r w:rsidR="00050942" w:rsidRPr="00C0681C">
        <w:rPr>
          <w:spacing w:val="16"/>
        </w:rPr>
        <w:t xml:space="preserve"> </w:t>
      </w:r>
      <w:r w:rsidR="00050942" w:rsidRPr="00C0681C">
        <w:t>sadales</w:t>
      </w:r>
      <w:r w:rsidR="00050942" w:rsidRPr="00C0681C">
        <w:rPr>
          <w:spacing w:val="16"/>
        </w:rPr>
        <w:t xml:space="preserve"> </w:t>
      </w:r>
      <w:r w:rsidR="00050942" w:rsidRPr="00C0681C">
        <w:t>sistēmu</w:t>
      </w:r>
      <w:r w:rsidR="00050942" w:rsidRPr="00C0681C">
        <w:rPr>
          <w:spacing w:val="15"/>
        </w:rPr>
        <w:t xml:space="preserve"> </w:t>
      </w:r>
      <w:r w:rsidR="00050942" w:rsidRPr="00C0681C">
        <w:t xml:space="preserve">operatoriem vai pārvades sistēmai pieslēgtas </w:t>
      </w:r>
      <w:proofErr w:type="spellStart"/>
      <w:r w:rsidR="00050942" w:rsidRPr="00C0681C">
        <w:t>pieprasījumietaises</w:t>
      </w:r>
      <w:proofErr w:type="spellEnd"/>
      <w:r w:rsidR="00050942" w:rsidRPr="00C0681C">
        <w:t xml:space="preserve"> īpašnieku, norāda releju aizsardzību un automātiku iestatījuma kartēs</w:t>
      </w:r>
      <w:r w:rsidR="0099059C" w:rsidRPr="00C0681C">
        <w:t>.</w:t>
      </w:r>
    </w:p>
    <w:p w14:paraId="245B77B3" w14:textId="6BC324F2" w:rsidR="00E16199" w:rsidRPr="00C0681C" w:rsidRDefault="00E16199" w:rsidP="0009128E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19.panta 2.punktu</w:t>
      </w:r>
      <w:r w:rsidRPr="00C0681C">
        <w:t>, attiecībā</w:t>
      </w:r>
      <w:r w:rsidRPr="00C0681C">
        <w:rPr>
          <w:spacing w:val="-12"/>
        </w:rPr>
        <w:t xml:space="preserve"> </w:t>
      </w:r>
      <w:r w:rsidRPr="00C0681C">
        <w:t>uz</w:t>
      </w:r>
      <w:r w:rsidRPr="00C0681C">
        <w:rPr>
          <w:spacing w:val="-12"/>
        </w:rPr>
        <w:t xml:space="preserve"> </w:t>
      </w:r>
      <w:r w:rsidRPr="00C0681C">
        <w:t>funkcionālajām</w:t>
      </w:r>
      <w:r w:rsidRPr="00C0681C">
        <w:rPr>
          <w:spacing w:val="-13"/>
        </w:rPr>
        <w:t xml:space="preserve"> </w:t>
      </w:r>
      <w:r w:rsidRPr="00C0681C">
        <w:t>spējām</w:t>
      </w:r>
      <w:r w:rsidRPr="00C0681C">
        <w:rPr>
          <w:spacing w:val="-13"/>
        </w:rPr>
        <w:t xml:space="preserve"> </w:t>
      </w:r>
      <w:r w:rsidRPr="00C0681C">
        <w:t>atslēgt</w:t>
      </w:r>
      <w:r w:rsidRPr="00C0681C">
        <w:rPr>
          <w:spacing w:val="-13"/>
        </w:rPr>
        <w:t xml:space="preserve"> </w:t>
      </w:r>
      <w:r w:rsidRPr="00C0681C">
        <w:t>pieprasījumu</w:t>
      </w:r>
      <w:r w:rsidRPr="00C0681C">
        <w:rPr>
          <w:spacing w:val="-12"/>
        </w:rPr>
        <w:t xml:space="preserve"> </w:t>
      </w:r>
      <w:r w:rsidRPr="00C0681C">
        <w:t>pie</w:t>
      </w:r>
      <w:r w:rsidRPr="00C0681C">
        <w:rPr>
          <w:spacing w:val="-13"/>
        </w:rPr>
        <w:t xml:space="preserve"> </w:t>
      </w:r>
      <w:r w:rsidRPr="00C0681C">
        <w:t>zema</w:t>
      </w:r>
      <w:r w:rsidRPr="00C0681C">
        <w:rPr>
          <w:spacing w:val="-13"/>
        </w:rPr>
        <w:t xml:space="preserve"> </w:t>
      </w:r>
      <w:r w:rsidRPr="00C0681C">
        <w:t xml:space="preserve">sprieguma, </w:t>
      </w:r>
      <w:r w:rsidR="005F5419" w:rsidRPr="00C0681C">
        <w:t xml:space="preserve">pārvades sistēmai pieslēgtām </w:t>
      </w:r>
      <w:proofErr w:type="spellStart"/>
      <w:r w:rsidR="005F5419" w:rsidRPr="00C0681C">
        <w:t>pieprasījumietaisēm</w:t>
      </w:r>
      <w:proofErr w:type="spellEnd"/>
      <w:r w:rsidR="005F5419" w:rsidRPr="00C0681C">
        <w:t xml:space="preserve">, pārvades sistēmai pieslēgtām sadales sistēmām </w:t>
      </w:r>
      <w:r w:rsidR="00050942" w:rsidRPr="00C0681C">
        <w:t>jābūt aprīkotām ar iekārtu</w:t>
      </w:r>
      <w:r w:rsidR="0009128E" w:rsidRPr="00C0681C">
        <w:t xml:space="preserve"> ar funkcionālu spēju </w:t>
      </w:r>
      <w:r w:rsidR="00050942" w:rsidRPr="00C0681C">
        <w:t xml:space="preserve">automātiski atslēgt 100% faktisko slodzi pie zema sprieguma. Šajā iekārtā jāaktivizē šī funkcija </w:t>
      </w:r>
      <w:r w:rsidR="005F5419" w:rsidRPr="00C0681C">
        <w:t>vismaz 65% faktiskās slodzes pieprasījuma ietaišu atslēgšana</w:t>
      </w:r>
      <w:r w:rsidR="0048531E" w:rsidRPr="00C0681C">
        <w:t>i</w:t>
      </w:r>
      <w:r w:rsidR="005F5419" w:rsidRPr="00C0681C">
        <w:t>, ja spriegums pieslēguma punktā ir mazāk</w:t>
      </w:r>
      <w:r w:rsidR="004E5295" w:rsidRPr="00C0681C">
        <w:t>s</w:t>
      </w:r>
      <w:r w:rsidR="005F5419" w:rsidRPr="00C0681C">
        <w:t xml:space="preserve"> par 0.9p.u. I</w:t>
      </w:r>
      <w:r w:rsidRPr="00C0681C">
        <w:t>estatījumus un iedarbes PSO, koordinējoties ar pārvades sistēmai pieslēgtu</w:t>
      </w:r>
      <w:r w:rsidRPr="00C0681C">
        <w:rPr>
          <w:spacing w:val="16"/>
        </w:rPr>
        <w:t xml:space="preserve"> </w:t>
      </w:r>
      <w:r w:rsidRPr="00C0681C">
        <w:t>sadales</w:t>
      </w:r>
      <w:r w:rsidRPr="00C0681C">
        <w:rPr>
          <w:spacing w:val="16"/>
        </w:rPr>
        <w:t xml:space="preserve"> </w:t>
      </w:r>
      <w:r w:rsidRPr="00C0681C">
        <w:t>sistēmu</w:t>
      </w:r>
      <w:r w:rsidRPr="00C0681C">
        <w:rPr>
          <w:spacing w:val="15"/>
        </w:rPr>
        <w:t xml:space="preserve"> </w:t>
      </w:r>
      <w:r w:rsidRPr="00C0681C">
        <w:t xml:space="preserve">operatoriem vai pārvades sistēmai pieslēgtas </w:t>
      </w:r>
      <w:proofErr w:type="spellStart"/>
      <w:r w:rsidRPr="00C0681C">
        <w:t>pieprasījumietaises</w:t>
      </w:r>
      <w:proofErr w:type="spellEnd"/>
      <w:r w:rsidRPr="00C0681C">
        <w:t xml:space="preserve"> īpašniek</w:t>
      </w:r>
      <w:r w:rsidR="0087148A" w:rsidRPr="00C0681C">
        <w:t>iem</w:t>
      </w:r>
      <w:r w:rsidRPr="00C0681C">
        <w:t>, norāda releju aizsardzīb</w:t>
      </w:r>
      <w:r w:rsidR="0087148A" w:rsidRPr="00C0681C">
        <w:t>as</w:t>
      </w:r>
      <w:r w:rsidRPr="00C0681C">
        <w:t xml:space="preserve"> un automātiku iestatījuma</w:t>
      </w:r>
      <w:r w:rsidR="005F5419" w:rsidRPr="00C0681C">
        <w:t xml:space="preserve"> </w:t>
      </w:r>
      <w:r w:rsidRPr="00C0681C">
        <w:t>kartēs.</w:t>
      </w:r>
    </w:p>
    <w:p w14:paraId="640BE192" w14:textId="6F85A66A" w:rsidR="00E16199" w:rsidRPr="00C0681C" w:rsidRDefault="00E16199" w:rsidP="009073AC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19.panta 4.punktu</w:t>
      </w:r>
      <w:r w:rsidRPr="00C0681C">
        <w:t xml:space="preserve"> visām pārvades sistēmai pieslēgtām </w:t>
      </w:r>
      <w:proofErr w:type="spellStart"/>
      <w:r w:rsidRPr="00C0681C">
        <w:t>pieprasījumietaisēm</w:t>
      </w:r>
      <w:proofErr w:type="spellEnd"/>
      <w:r w:rsidRPr="00C0681C">
        <w:t xml:space="preserve"> un pārvades sistēmai pieslēgtām sadales sistēmām apstākļus, attiecībā</w:t>
      </w:r>
      <w:r w:rsidRPr="00C0681C">
        <w:rPr>
          <w:spacing w:val="-7"/>
        </w:rPr>
        <w:t xml:space="preserve"> </w:t>
      </w:r>
      <w:r w:rsidRPr="00C0681C">
        <w:t>uz</w:t>
      </w:r>
      <w:r w:rsidRPr="00C0681C">
        <w:rPr>
          <w:spacing w:val="-6"/>
        </w:rPr>
        <w:t xml:space="preserve"> </w:t>
      </w:r>
      <w:r w:rsidRPr="00C0681C">
        <w:t>spēju</w:t>
      </w:r>
      <w:r w:rsidRPr="00C0681C">
        <w:rPr>
          <w:spacing w:val="-7"/>
        </w:rPr>
        <w:t xml:space="preserve"> </w:t>
      </w:r>
      <w:proofErr w:type="spellStart"/>
      <w:r w:rsidRPr="00C0681C">
        <w:t>atkalpieslēgties</w:t>
      </w:r>
      <w:proofErr w:type="spellEnd"/>
      <w:r w:rsidRPr="00C0681C">
        <w:rPr>
          <w:spacing w:val="-6"/>
        </w:rPr>
        <w:t xml:space="preserve"> </w:t>
      </w:r>
      <w:r w:rsidRPr="00C0681C">
        <w:t>pēc</w:t>
      </w:r>
      <w:r w:rsidRPr="00C0681C">
        <w:rPr>
          <w:spacing w:val="-7"/>
        </w:rPr>
        <w:t xml:space="preserve"> </w:t>
      </w:r>
      <w:r w:rsidRPr="00C0681C">
        <w:t xml:space="preserve">atslēgšanas vai atslēgties, PSO norāda releju aizsardzību un automātiku </w:t>
      </w:r>
      <w:r w:rsidR="00DB0F57" w:rsidRPr="00C0681C">
        <w:t xml:space="preserve">iestatījumu </w:t>
      </w:r>
      <w:r w:rsidRPr="00C0681C">
        <w:t>kartēs</w:t>
      </w:r>
      <w:r w:rsidR="004E5295" w:rsidRPr="00C0681C">
        <w:t>,</w:t>
      </w:r>
      <w:r w:rsidR="005F5419" w:rsidRPr="00C0681C">
        <w:t xml:space="preserve"> ievērojot šādus principus:</w:t>
      </w:r>
    </w:p>
    <w:p w14:paraId="36D98C2F" w14:textId="59908D98" w:rsidR="00DF581E" w:rsidRPr="00C0681C" w:rsidRDefault="00CD5339" w:rsidP="00DF581E">
      <w:pPr>
        <w:pStyle w:val="ListParagraph"/>
        <w:numPr>
          <w:ilvl w:val="1"/>
          <w:numId w:val="35"/>
        </w:numPr>
        <w:ind w:left="993" w:hanging="567"/>
      </w:pPr>
      <w:proofErr w:type="spellStart"/>
      <w:r w:rsidRPr="00C0681C">
        <w:lastRenderedPageBreak/>
        <w:t>pieprasījumietaišu</w:t>
      </w:r>
      <w:proofErr w:type="spellEnd"/>
      <w:r w:rsidRPr="00C0681C">
        <w:t xml:space="preserve"> un sadales sistēmu pievienojumu a</w:t>
      </w:r>
      <w:r w:rsidR="00E16199" w:rsidRPr="00C0681C">
        <w:t xml:space="preserve">utomātiska </w:t>
      </w:r>
      <w:proofErr w:type="spellStart"/>
      <w:r w:rsidR="00E16199" w:rsidRPr="00C0681C">
        <w:t>atpakaļieslēgšana</w:t>
      </w:r>
      <w:proofErr w:type="spellEnd"/>
      <w:r w:rsidR="00E16199" w:rsidRPr="00C0681C">
        <w:t xml:space="preserve">, </w:t>
      </w:r>
      <w:r w:rsidR="00CF6ADB" w:rsidRPr="00C0681C">
        <w:t>pieļaujama, kad pieslēguma punktā frekvence ir diapazonā no 49.0Hz līdz 51.0Hz un spriegums</w:t>
      </w:r>
      <w:r w:rsidR="008C204F" w:rsidRPr="00C0681C">
        <w:t xml:space="preserve"> pieslēguma punktā</w:t>
      </w:r>
      <w:r w:rsidR="00CF6ADB" w:rsidRPr="00C0681C">
        <w:t xml:space="preserve"> ir diapazonā</w:t>
      </w:r>
      <w:r w:rsidR="0048531E" w:rsidRPr="00C0681C">
        <w:t>,</w:t>
      </w:r>
      <w:r w:rsidR="00CF6ADB" w:rsidRPr="00C0681C">
        <w:t xml:space="preserve"> </w:t>
      </w:r>
      <w:r w:rsidR="00403E81" w:rsidRPr="00C0681C">
        <w:t>kas atbilst</w:t>
      </w:r>
      <w:r w:rsidR="00CF6ADB" w:rsidRPr="00C0681C">
        <w:t xml:space="preserve"> </w:t>
      </w:r>
      <w:r w:rsidR="00403E81" w:rsidRPr="00C0681C">
        <w:t xml:space="preserve">darbības periodam "neierobežots" </w:t>
      </w:r>
      <w:r w:rsidR="00501844" w:rsidRPr="00C0681C">
        <w:t>atbilstoši 7. un 8.punktam</w:t>
      </w:r>
      <w:r w:rsidR="008C204F" w:rsidRPr="00C0681C">
        <w:t>;</w:t>
      </w:r>
    </w:p>
    <w:p w14:paraId="52E3C15D" w14:textId="77777777" w:rsidR="00DF581E" w:rsidRPr="00C0681C" w:rsidRDefault="00CF6ADB" w:rsidP="00DF581E">
      <w:pPr>
        <w:pStyle w:val="ListParagraph"/>
        <w:numPr>
          <w:ilvl w:val="1"/>
          <w:numId w:val="35"/>
        </w:numPr>
        <w:ind w:left="993" w:hanging="567"/>
      </w:pPr>
      <w:proofErr w:type="spellStart"/>
      <w:r w:rsidRPr="00C0681C">
        <w:t>pieprasījumietaišu</w:t>
      </w:r>
      <w:proofErr w:type="spellEnd"/>
      <w:r w:rsidRPr="00C0681C">
        <w:t xml:space="preserve"> un sadales sistēmu pievienojum</w:t>
      </w:r>
      <w:r w:rsidR="008C204F" w:rsidRPr="00C0681C">
        <w:t>u</w:t>
      </w:r>
      <w:r w:rsidRPr="00C0681C">
        <w:t xml:space="preserve"> </w:t>
      </w:r>
      <w:r w:rsidR="008C204F" w:rsidRPr="00C0681C">
        <w:t>a</w:t>
      </w:r>
      <w:r w:rsidR="00E16199" w:rsidRPr="00C0681C">
        <w:t xml:space="preserve">utomātiskas </w:t>
      </w:r>
      <w:proofErr w:type="spellStart"/>
      <w:r w:rsidR="00E16199" w:rsidRPr="00C0681C">
        <w:t>atpakaļieslēgšanas</w:t>
      </w:r>
      <w:proofErr w:type="spellEnd"/>
      <w:r w:rsidR="00E16199" w:rsidRPr="00C0681C">
        <w:t xml:space="preserve"> </w:t>
      </w:r>
      <w:r w:rsidR="008C204F" w:rsidRPr="00C0681C">
        <w:t>laika iestatījumus nosaka</w:t>
      </w:r>
      <w:r w:rsidR="00E16199" w:rsidRPr="00C0681C">
        <w:t xml:space="preserve"> PSO tā, lai sprieguma atjaunošana </w:t>
      </w:r>
      <w:r w:rsidR="008C204F" w:rsidRPr="00C0681C">
        <w:t xml:space="preserve">pieslēguma punktā </w:t>
      </w:r>
      <w:r w:rsidR="00E16199" w:rsidRPr="00C0681C">
        <w:t xml:space="preserve">notiktu </w:t>
      </w:r>
      <w:r w:rsidR="008C204F" w:rsidRPr="00C0681C">
        <w:t xml:space="preserve">pēc </w:t>
      </w:r>
      <w:r w:rsidR="00E16199" w:rsidRPr="00C0681C">
        <w:t xml:space="preserve">bojājuma </w:t>
      </w:r>
      <w:r w:rsidR="008C204F" w:rsidRPr="00C0681C">
        <w:t>pārvades tīklā pazušanas;</w:t>
      </w:r>
    </w:p>
    <w:p w14:paraId="067DE1E8" w14:textId="06B6EA4E" w:rsidR="008C204F" w:rsidRPr="00C0681C" w:rsidRDefault="008C204F" w:rsidP="00DF581E">
      <w:pPr>
        <w:pStyle w:val="ListParagraph"/>
        <w:numPr>
          <w:ilvl w:val="1"/>
          <w:numId w:val="35"/>
        </w:numPr>
        <w:ind w:left="993" w:hanging="567"/>
      </w:pPr>
      <w:r w:rsidRPr="00C0681C">
        <w:t>ierīkojot pieslēgumu pieprasījuma ietaises īpašniekam un sadales sistēmas operatoram jāparedz visas nepieciešamās iekārtas, lai nodrošinātu 1</w:t>
      </w:r>
      <w:r w:rsidR="00106E6C" w:rsidRPr="00C0681C">
        <w:t>8</w:t>
      </w:r>
      <w:r w:rsidRPr="00C0681C">
        <w:t>.1. un 1</w:t>
      </w:r>
      <w:r w:rsidR="00106E6C" w:rsidRPr="00C0681C">
        <w:t>8</w:t>
      </w:r>
      <w:r w:rsidRPr="00C0681C">
        <w:t>.2. punktu prasības.</w:t>
      </w:r>
    </w:p>
    <w:p w14:paraId="265041F2" w14:textId="77777777" w:rsidR="00E16199" w:rsidRPr="00C0681C" w:rsidRDefault="00E16199" w:rsidP="00E51A9D"/>
    <w:p w14:paraId="6FFEB162" w14:textId="77777777" w:rsidR="00E16199" w:rsidRPr="00C0681C" w:rsidRDefault="00E16199" w:rsidP="004A723C">
      <w:pPr>
        <w:pStyle w:val="Heading4"/>
      </w:pPr>
      <w:r w:rsidRPr="00C0681C">
        <w:t>Jaudas kvalitāte</w:t>
      </w:r>
    </w:p>
    <w:p w14:paraId="18E7FFF4" w14:textId="77777777" w:rsidR="00BB1840" w:rsidRPr="00C0681C" w:rsidRDefault="00BB1840" w:rsidP="00E51A9D">
      <w:pPr>
        <w:pStyle w:val="BodyText"/>
        <w:rPr>
          <w:lang w:val="lv-LV"/>
        </w:rPr>
      </w:pPr>
    </w:p>
    <w:p w14:paraId="1752F727" w14:textId="77777777" w:rsidR="00E16199" w:rsidRPr="00C0681C" w:rsidRDefault="00E16199" w:rsidP="009073AC">
      <w:pPr>
        <w:pStyle w:val="ApakApakpunkti"/>
      </w:pPr>
      <w:r w:rsidRPr="00C0681C">
        <w:t xml:space="preserve">Saskaņā ar Regulas </w:t>
      </w:r>
      <w:r w:rsidRPr="00C0681C">
        <w:rPr>
          <w:b/>
        </w:rPr>
        <w:t>2016/1388 20.pantu</w:t>
      </w:r>
      <w:r w:rsidRPr="00C0681C">
        <w:t xml:space="preserve"> pārvades sistēmai pieslēgtas </w:t>
      </w:r>
      <w:proofErr w:type="spellStart"/>
      <w:r w:rsidRPr="00C0681C">
        <w:t>pieprasījumietaises</w:t>
      </w:r>
      <w:proofErr w:type="spellEnd"/>
      <w:r w:rsidRPr="00C0681C">
        <w:t xml:space="preserve"> īpašnieki un pārvades sistēmai pieslēgtas sadales sistēmas operatori nodrošina, ka to pieslēgums tīklam nerada noteiktus traucējumus vai svārstības tīkla barošanas spriegumā pieslēguma punktā saskaņā ar standartu LVS EN 50160.</w:t>
      </w:r>
    </w:p>
    <w:p w14:paraId="64E05FE5" w14:textId="77777777" w:rsidR="00943DB3" w:rsidRPr="00C0681C" w:rsidRDefault="00943DB3" w:rsidP="00A9092E"/>
    <w:p w14:paraId="0ECBAE09" w14:textId="77777777" w:rsidR="00E16199" w:rsidRPr="00C0681C" w:rsidRDefault="00E16199" w:rsidP="009073AC">
      <w:pPr>
        <w:pStyle w:val="ApakApakpunkti"/>
      </w:pPr>
      <w:r w:rsidRPr="00C0681C">
        <w:t xml:space="preserve">Saskaņā ar Regulas </w:t>
      </w:r>
      <w:r w:rsidRPr="00C0681C">
        <w:rPr>
          <w:b/>
        </w:rPr>
        <w:t>2016/1388 22.panta 3.punktu</w:t>
      </w:r>
      <w:r w:rsidRPr="00C0681C">
        <w:t xml:space="preserve"> informāciju</w:t>
      </w:r>
      <w:r w:rsidRPr="00C0681C">
        <w:rPr>
          <w:spacing w:val="-12"/>
        </w:rPr>
        <w:t xml:space="preserve"> </w:t>
      </w:r>
      <w:r w:rsidRPr="00C0681C">
        <w:t>par</w:t>
      </w:r>
      <w:r w:rsidRPr="00C0681C">
        <w:rPr>
          <w:spacing w:val="-12"/>
        </w:rPr>
        <w:t xml:space="preserve"> </w:t>
      </w:r>
      <w:r w:rsidRPr="00C0681C">
        <w:t>ekspluatācijas</w:t>
      </w:r>
      <w:r w:rsidRPr="00C0681C">
        <w:rPr>
          <w:spacing w:val="-11"/>
        </w:rPr>
        <w:t xml:space="preserve"> </w:t>
      </w:r>
      <w:r w:rsidRPr="00C0681C">
        <w:t>paziņošanas</w:t>
      </w:r>
      <w:r w:rsidRPr="00C0681C">
        <w:rPr>
          <w:spacing w:val="-12"/>
        </w:rPr>
        <w:t xml:space="preserve"> </w:t>
      </w:r>
      <w:r w:rsidRPr="00C0681C">
        <w:t>procedūras</w:t>
      </w:r>
      <w:r w:rsidRPr="00C0681C">
        <w:rPr>
          <w:spacing w:val="-12"/>
        </w:rPr>
        <w:t xml:space="preserve"> </w:t>
      </w:r>
      <w:r w:rsidRPr="00C0681C">
        <w:t>kārtību  PSO publicē</w:t>
      </w:r>
      <w:r w:rsidR="00233A15" w:rsidRPr="00C0681C">
        <w:t xml:space="preserve"> savā</w:t>
      </w:r>
      <w:r w:rsidRPr="00C0681C">
        <w:t xml:space="preserve"> interneta mājas lapā.</w:t>
      </w:r>
    </w:p>
    <w:p w14:paraId="36E03A94" w14:textId="77777777" w:rsidR="00E16199" w:rsidRPr="00C0681C" w:rsidRDefault="00E16199" w:rsidP="00E51A9D">
      <w:pPr>
        <w:pStyle w:val="BodyText"/>
        <w:rPr>
          <w:lang w:val="lv-LV"/>
        </w:rPr>
      </w:pPr>
    </w:p>
    <w:p w14:paraId="497AFD20" w14:textId="77777777" w:rsidR="001D38CD" w:rsidRPr="00C0681C" w:rsidRDefault="001D38CD" w:rsidP="00E51A9D">
      <w:pPr>
        <w:pStyle w:val="BodyText"/>
        <w:rPr>
          <w:lang w:val="lv-LV"/>
        </w:rPr>
      </w:pPr>
    </w:p>
    <w:p w14:paraId="53341927" w14:textId="77777777" w:rsidR="00E16199" w:rsidRPr="00C0681C" w:rsidRDefault="00E16199" w:rsidP="004A723C">
      <w:pPr>
        <w:pStyle w:val="Heading4"/>
      </w:pPr>
      <w:r w:rsidRPr="00C0681C">
        <w:t xml:space="preserve">Īpaši noteikumi </w:t>
      </w:r>
      <w:proofErr w:type="spellStart"/>
      <w:r w:rsidRPr="00C0681C">
        <w:t>pieprasījumvienībām</w:t>
      </w:r>
      <w:proofErr w:type="spellEnd"/>
      <w:r w:rsidRPr="00C0681C">
        <w:t>, kas nodrošina</w:t>
      </w:r>
      <w:r w:rsidR="006B1FB0" w:rsidRPr="00C0681C">
        <w:t xml:space="preserve"> </w:t>
      </w:r>
      <w:proofErr w:type="spellStart"/>
      <w:r w:rsidRPr="00C0681C">
        <w:t>pieprasījumreakciju</w:t>
      </w:r>
      <w:proofErr w:type="spellEnd"/>
      <w:r w:rsidRPr="00C0681C">
        <w:t xml:space="preserve"> aktīvās jaudas kontrolei</w:t>
      </w:r>
      <w:r w:rsidR="006B1FB0" w:rsidRPr="00C0681C">
        <w:t xml:space="preserve">, reaktīvās </w:t>
      </w:r>
      <w:r w:rsidRPr="00C0681C">
        <w:t>jaudas kontrolei un pārvades ierobežojumu pārvarēšanai</w:t>
      </w:r>
    </w:p>
    <w:p w14:paraId="10B5E1C2" w14:textId="77777777" w:rsidR="006B1FB0" w:rsidRPr="00C0681C" w:rsidRDefault="006B1FB0" w:rsidP="00E51A9D">
      <w:pPr>
        <w:rPr>
          <w:w w:val="95"/>
        </w:rPr>
      </w:pPr>
    </w:p>
    <w:p w14:paraId="2CA29B3B" w14:textId="5BADD093" w:rsidR="00E16199" w:rsidRPr="00C0681C" w:rsidRDefault="00E16199" w:rsidP="009073AC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>28.panta 2.punktu</w:t>
      </w:r>
      <w:r w:rsidRPr="00C0681C">
        <w:t xml:space="preserve"> </w:t>
      </w:r>
      <w:proofErr w:type="spellStart"/>
      <w:r w:rsidRPr="00C0681C">
        <w:t>pieprasījumvienībām</w:t>
      </w:r>
      <w:proofErr w:type="spellEnd"/>
      <w:r w:rsidRPr="00C0681C">
        <w:t xml:space="preserve">, kas nodrošina </w:t>
      </w:r>
      <w:proofErr w:type="spellStart"/>
      <w:r w:rsidRPr="00C0681C">
        <w:t>pieprasījumreakciju</w:t>
      </w:r>
      <w:proofErr w:type="spellEnd"/>
      <w:r w:rsidRPr="00C0681C">
        <w:t xml:space="preserve"> aktīvās jaudas kontrolei, </w:t>
      </w:r>
      <w:proofErr w:type="spellStart"/>
      <w:r w:rsidRPr="00C0681C">
        <w:t>pieprasījumreakciju</w:t>
      </w:r>
      <w:proofErr w:type="spellEnd"/>
      <w:r w:rsidRPr="00C0681C">
        <w:t xml:space="preserve"> reaktīvās jaudas kontrolei vai </w:t>
      </w:r>
      <w:proofErr w:type="spellStart"/>
      <w:r w:rsidRPr="00C0681C">
        <w:t>pieprasījumreakciju</w:t>
      </w:r>
      <w:proofErr w:type="spellEnd"/>
      <w:r w:rsidRPr="00C0681C">
        <w:t xml:space="preserve"> pārvades ierobežojumu pārvarēšanai, vai nu individuāli, vai – ja vienība neietilpst pārvades sistēmai pieslēgtā </w:t>
      </w:r>
      <w:proofErr w:type="spellStart"/>
      <w:r w:rsidRPr="00C0681C">
        <w:t>pieprasījumietaisē</w:t>
      </w:r>
      <w:proofErr w:type="spellEnd"/>
      <w:r w:rsidRPr="00C0681C">
        <w:t xml:space="preserve"> – kolektīvi kā trešās personas izveidota </w:t>
      </w:r>
      <w:proofErr w:type="spellStart"/>
      <w:r w:rsidRPr="00C0681C">
        <w:t>pieprasījumagregāta</w:t>
      </w:r>
      <w:proofErr w:type="spellEnd"/>
      <w:r w:rsidRPr="00C0681C">
        <w:t xml:space="preserve"> daļai  ir jāatbilst šādām </w:t>
      </w:r>
      <w:r w:rsidRPr="00C0681C">
        <w:rPr>
          <w:spacing w:val="9"/>
        </w:rPr>
        <w:t xml:space="preserve"> </w:t>
      </w:r>
      <w:r w:rsidRPr="00C0681C">
        <w:t>prasībām:</w:t>
      </w:r>
    </w:p>
    <w:p w14:paraId="7529F268" w14:textId="12FC1B31" w:rsidR="009073AC" w:rsidRPr="00C0681C" w:rsidRDefault="00E16199" w:rsidP="009073AC">
      <w:pPr>
        <w:pStyle w:val="ApakApakpunkti"/>
        <w:numPr>
          <w:ilvl w:val="1"/>
          <w:numId w:val="35"/>
        </w:numPr>
        <w:ind w:left="993" w:hanging="567"/>
      </w:pPr>
      <w:r w:rsidRPr="00C0681C">
        <w:t xml:space="preserve">Saskaņā ar Regulas 2016/1388 </w:t>
      </w:r>
      <w:r w:rsidRPr="00C0681C">
        <w:rPr>
          <w:b/>
        </w:rPr>
        <w:t xml:space="preserve">28.panta </w:t>
      </w:r>
      <w:r w:rsidR="00233A15" w:rsidRPr="00C0681C">
        <w:rPr>
          <w:b/>
        </w:rPr>
        <w:t>2</w:t>
      </w:r>
      <w:r w:rsidRPr="00C0681C">
        <w:rPr>
          <w:b/>
        </w:rPr>
        <w:t>.punkta c)</w:t>
      </w:r>
      <w:r w:rsidR="001D278B" w:rsidRPr="00C0681C">
        <w:t xml:space="preserve"> </w:t>
      </w:r>
      <w:r w:rsidRPr="00C0681C">
        <w:t xml:space="preserve">apakšpunktu jāspēj darboties visā sistēmas normālas darbības sprieguma diapazonā </w:t>
      </w:r>
      <w:proofErr w:type="spellStart"/>
      <w:r w:rsidRPr="00C0681C">
        <w:t>pieslēgumpunktā</w:t>
      </w:r>
      <w:proofErr w:type="spellEnd"/>
      <w:r w:rsidRPr="00C0681C">
        <w:t xml:space="preserve"> </w:t>
      </w:r>
      <w:r w:rsidRPr="00C0681C">
        <w:rPr>
          <w:spacing w:val="-3"/>
        </w:rPr>
        <w:t>k</w:t>
      </w:r>
      <w:r w:rsidR="00233A15" w:rsidRPr="00C0681C">
        <w:rPr>
          <w:spacing w:val="-3"/>
        </w:rPr>
        <w:t>ā</w:t>
      </w:r>
      <w:r w:rsidRPr="00C0681C">
        <w:rPr>
          <w:spacing w:val="-3"/>
        </w:rPr>
        <w:t xml:space="preserve"> </w:t>
      </w:r>
      <w:r w:rsidR="00233A15" w:rsidRPr="00C0681C">
        <w:t>norādīts</w:t>
      </w:r>
      <w:r w:rsidRPr="00C0681C">
        <w:t xml:space="preserve"> </w:t>
      </w:r>
      <w:r w:rsidR="005134AE" w:rsidRPr="00C0681C">
        <w:t>7 un 8.</w:t>
      </w:r>
      <w:r w:rsidR="00233A15" w:rsidRPr="00C0681C">
        <w:t>punktā</w:t>
      </w:r>
      <w:r w:rsidR="005134AE" w:rsidRPr="00C0681C">
        <w:t>;</w:t>
      </w:r>
      <w:r w:rsidR="00233A15" w:rsidRPr="00C0681C">
        <w:t xml:space="preserve"> </w:t>
      </w:r>
    </w:p>
    <w:p w14:paraId="65458706" w14:textId="1B49D3D5" w:rsidR="009073AC" w:rsidRPr="00C0681C" w:rsidRDefault="00E16199" w:rsidP="009073AC">
      <w:pPr>
        <w:pStyle w:val="ApakApakpunkti"/>
        <w:numPr>
          <w:ilvl w:val="1"/>
          <w:numId w:val="35"/>
        </w:numPr>
        <w:ind w:left="993" w:hanging="567"/>
      </w:pPr>
      <w:r w:rsidRPr="00C0681C">
        <w:t xml:space="preserve">Saskaņā ar Regulas 2016/1388 </w:t>
      </w:r>
      <w:r w:rsidRPr="00C0681C">
        <w:rPr>
          <w:b/>
        </w:rPr>
        <w:t>28.panta 2.punkta f)</w:t>
      </w:r>
      <w:r w:rsidRPr="00C0681C">
        <w:t xml:space="preserve"> apakšpunktu jāspēj pielāgot savu jaudas patēriņu periodā, </w:t>
      </w:r>
      <w:r w:rsidRPr="00C0681C">
        <w:rPr>
          <w:spacing w:val="-3"/>
        </w:rPr>
        <w:t>k</w:t>
      </w:r>
      <w:r w:rsidR="00DF74F2" w:rsidRPr="00C0681C">
        <w:rPr>
          <w:spacing w:val="-3"/>
        </w:rPr>
        <w:t>urš</w:t>
      </w:r>
      <w:r w:rsidRPr="00C0681C">
        <w:rPr>
          <w:spacing w:val="-3"/>
        </w:rPr>
        <w:t xml:space="preserve"> </w:t>
      </w:r>
      <w:r w:rsidR="005134AE" w:rsidRPr="00C0681C">
        <w:rPr>
          <w:spacing w:val="-3"/>
        </w:rPr>
        <w:t>ir noteikts</w:t>
      </w:r>
      <w:r w:rsidRPr="00C0681C">
        <w:rPr>
          <w:spacing w:val="-3"/>
        </w:rPr>
        <w:t xml:space="preserve"> </w:t>
      </w:r>
      <w:r w:rsidR="005134AE" w:rsidRPr="00C0681C">
        <w:rPr>
          <w:spacing w:val="-3"/>
        </w:rPr>
        <w:t>B</w:t>
      </w:r>
      <w:r w:rsidRPr="00C0681C">
        <w:rPr>
          <w:spacing w:val="-3"/>
        </w:rPr>
        <w:t>alansēšanas tirgus noteikumos (</w:t>
      </w:r>
      <w:proofErr w:type="spellStart"/>
      <w:r w:rsidRPr="00C0681C">
        <w:rPr>
          <w:color w:val="353838"/>
        </w:rPr>
        <w:t>Baltic</w:t>
      </w:r>
      <w:proofErr w:type="spellEnd"/>
      <w:r w:rsidRPr="00C0681C">
        <w:rPr>
          <w:color w:val="353838"/>
        </w:rPr>
        <w:t xml:space="preserve"> </w:t>
      </w:r>
      <w:proofErr w:type="spellStart"/>
      <w:r w:rsidRPr="00C0681C">
        <w:rPr>
          <w:color w:val="353838"/>
        </w:rPr>
        <w:t>Balancing</w:t>
      </w:r>
      <w:proofErr w:type="spellEnd"/>
      <w:r w:rsidRPr="00C0681C">
        <w:rPr>
          <w:color w:val="353838"/>
        </w:rPr>
        <w:t xml:space="preserve"> </w:t>
      </w:r>
      <w:proofErr w:type="spellStart"/>
      <w:r w:rsidRPr="00C0681C">
        <w:rPr>
          <w:color w:val="353838"/>
        </w:rPr>
        <w:t>Market</w:t>
      </w:r>
      <w:proofErr w:type="spellEnd"/>
      <w:r w:rsidRPr="00C0681C">
        <w:rPr>
          <w:color w:val="353838"/>
        </w:rPr>
        <w:t xml:space="preserve"> </w:t>
      </w:r>
      <w:proofErr w:type="spellStart"/>
      <w:r w:rsidRPr="00C0681C">
        <w:rPr>
          <w:color w:val="353838"/>
        </w:rPr>
        <w:t>Rules</w:t>
      </w:r>
      <w:proofErr w:type="spellEnd"/>
      <w:r w:rsidRPr="00C0681C">
        <w:rPr>
          <w:color w:val="353838"/>
        </w:rPr>
        <w:t>).</w:t>
      </w:r>
    </w:p>
    <w:p w14:paraId="3759EC23" w14:textId="7A505B48" w:rsidR="009073AC" w:rsidRPr="00C0681C" w:rsidRDefault="00E16199" w:rsidP="009073AC">
      <w:pPr>
        <w:pStyle w:val="ApakApakpunkti"/>
        <w:numPr>
          <w:ilvl w:val="1"/>
          <w:numId w:val="35"/>
        </w:numPr>
        <w:ind w:left="993" w:hanging="567"/>
      </w:pPr>
      <w:r w:rsidRPr="00C0681C">
        <w:t xml:space="preserve">Saskaņā ar Regulas 2016/1388 </w:t>
      </w:r>
      <w:r w:rsidRPr="00C0681C">
        <w:rPr>
          <w:b/>
        </w:rPr>
        <w:t>28.panta 2.punkta i)</w:t>
      </w:r>
      <w:r w:rsidRPr="00C0681C">
        <w:t xml:space="preserve"> apakšpunktu paziņošanas kārtību </w:t>
      </w:r>
      <w:r w:rsidR="005134AE" w:rsidRPr="00C0681C">
        <w:t xml:space="preserve">attiecībā uz </w:t>
      </w:r>
      <w:proofErr w:type="spellStart"/>
      <w:r w:rsidRPr="00C0681C">
        <w:t>pieprasījumreakcijas</w:t>
      </w:r>
      <w:proofErr w:type="spellEnd"/>
      <w:r w:rsidRPr="00C0681C">
        <w:t xml:space="preserve"> spējas modifikāciju norāda pakalpojuma līgumā.</w:t>
      </w:r>
    </w:p>
    <w:p w14:paraId="0FC4D754" w14:textId="4968FA03" w:rsidR="00E16199" w:rsidRPr="00C0681C" w:rsidRDefault="00E16199" w:rsidP="009073AC">
      <w:pPr>
        <w:pStyle w:val="ApakApakpunkti"/>
        <w:numPr>
          <w:ilvl w:val="1"/>
          <w:numId w:val="35"/>
        </w:numPr>
        <w:ind w:left="993" w:hanging="567"/>
      </w:pPr>
      <w:r w:rsidRPr="00C0681C">
        <w:t xml:space="preserve">Saskaņā ar Regulas 2016/1388 </w:t>
      </w:r>
      <w:r w:rsidRPr="00C0681C">
        <w:rPr>
          <w:b/>
        </w:rPr>
        <w:t xml:space="preserve">28.panta 2.punkta </w:t>
      </w:r>
      <w:r w:rsidR="00921AD0" w:rsidRPr="00C0681C">
        <w:rPr>
          <w:b/>
        </w:rPr>
        <w:t>k</w:t>
      </w:r>
      <w:r w:rsidRPr="00C0681C">
        <w:rPr>
          <w:b/>
        </w:rPr>
        <w:t>)</w:t>
      </w:r>
      <w:r w:rsidRPr="00C0681C">
        <w:t xml:space="preserve"> apakšpunktu attiecībā uz frekvences izmaiņas ātruma </w:t>
      </w:r>
      <w:proofErr w:type="spellStart"/>
      <w:r w:rsidRPr="00C0681C">
        <w:t>izturētspēju</w:t>
      </w:r>
      <w:proofErr w:type="spellEnd"/>
      <w:r w:rsidRPr="00C0681C">
        <w:t xml:space="preserve"> </w:t>
      </w:r>
      <w:proofErr w:type="spellStart"/>
      <w:r w:rsidRPr="00C0681C">
        <w:t>pieprasījumvienīb</w:t>
      </w:r>
      <w:r w:rsidR="00DF74F2" w:rsidRPr="00C0681C">
        <w:t>ām</w:t>
      </w:r>
      <w:proofErr w:type="spellEnd"/>
      <w:r w:rsidRPr="00C0681C">
        <w:t xml:space="preserve"> </w:t>
      </w:r>
      <w:r w:rsidR="005134AE" w:rsidRPr="00C0681C">
        <w:t>jā</w:t>
      </w:r>
      <w:r w:rsidRPr="00C0681C">
        <w:t>spēj palikt pieslēgt</w:t>
      </w:r>
      <w:r w:rsidR="005134AE" w:rsidRPr="00C0681C">
        <w:t>ām</w:t>
      </w:r>
      <w:r w:rsidRPr="00C0681C">
        <w:t xml:space="preserve"> tīklam un darboties </w:t>
      </w:r>
      <w:r w:rsidR="005134AE" w:rsidRPr="00C0681C">
        <w:t xml:space="preserve">līdz iedarbojas </w:t>
      </w:r>
      <w:r w:rsidRPr="00C0681C">
        <w:t xml:space="preserve">tīkla sprieguma pazušanas aizsardzība. Kā tīkla sprieguma pazušanas aizsardzība jāizmanto </w:t>
      </w:r>
      <w:r w:rsidRPr="00C0681C">
        <w:lastRenderedPageBreak/>
        <w:t xml:space="preserve">frekvences izmaiņas ātruma aizsardzība ar </w:t>
      </w:r>
      <w:proofErr w:type="spellStart"/>
      <w:r w:rsidRPr="00C0681C">
        <w:t>nostrādes</w:t>
      </w:r>
      <w:proofErr w:type="spellEnd"/>
      <w:r w:rsidRPr="00C0681C">
        <w:t xml:space="preserve"> iestatījumu 2.5Hz/s. Mērīšanas intervālam jābūt ne lielākam par 500ms.</w:t>
      </w:r>
    </w:p>
    <w:p w14:paraId="0D85787A" w14:textId="7ACB05D0" w:rsidR="001D38CD" w:rsidRPr="00C0681C" w:rsidRDefault="001D38CD">
      <w:pPr>
        <w:spacing w:after="200" w:line="276" w:lineRule="auto"/>
        <w:jc w:val="left"/>
      </w:pPr>
    </w:p>
    <w:p w14:paraId="546B9452" w14:textId="77777777" w:rsidR="00AB2665" w:rsidRPr="00C0681C" w:rsidRDefault="00AB2665" w:rsidP="004A723C">
      <w:pPr>
        <w:pStyle w:val="Heading4"/>
      </w:pPr>
      <w:r w:rsidRPr="00C0681C">
        <w:t xml:space="preserve">Īpaši noteikumi </w:t>
      </w:r>
      <w:proofErr w:type="spellStart"/>
      <w:r w:rsidRPr="00C0681C">
        <w:t>pieprasījumvienībām</w:t>
      </w:r>
      <w:proofErr w:type="spellEnd"/>
      <w:r w:rsidRPr="00C0681C">
        <w:t xml:space="preserve">, kas nodrošina </w:t>
      </w:r>
      <w:proofErr w:type="spellStart"/>
      <w:r w:rsidRPr="00C0681C">
        <w:t>pieprasījumreakciju</w:t>
      </w:r>
      <w:proofErr w:type="spellEnd"/>
      <w:r w:rsidRPr="00C0681C">
        <w:t xml:space="preserve"> sistēmas frekvences kontrolei</w:t>
      </w:r>
    </w:p>
    <w:p w14:paraId="3E25E9E0" w14:textId="77777777" w:rsidR="00E16199" w:rsidRPr="00C0681C" w:rsidRDefault="00E16199" w:rsidP="00E51A9D"/>
    <w:p w14:paraId="7FF8B000" w14:textId="77777777" w:rsidR="00E16199" w:rsidRPr="00C0681C" w:rsidRDefault="00E16199" w:rsidP="009073AC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 xml:space="preserve">29.panta 2.punkta d) </w:t>
      </w:r>
      <w:r w:rsidRPr="00C0681C">
        <w:t xml:space="preserve">apakšpunktu </w:t>
      </w:r>
      <w:proofErr w:type="spellStart"/>
      <w:r w:rsidRPr="00C0681C">
        <w:t>frekvencnot</w:t>
      </w:r>
      <w:r w:rsidR="00731014" w:rsidRPr="00C0681C">
        <w:t>eiktas</w:t>
      </w:r>
      <w:proofErr w:type="spellEnd"/>
      <w:r w:rsidR="00731014" w:rsidRPr="00C0681C">
        <w:t xml:space="preserve"> reakcijas nestrādes zona ir ±200mHz.</w:t>
      </w:r>
    </w:p>
    <w:p w14:paraId="0284EFD5" w14:textId="5E422273" w:rsidR="00E16199" w:rsidRPr="00C0681C" w:rsidRDefault="00E16199" w:rsidP="009073AC">
      <w:pPr>
        <w:pStyle w:val="ApakApakpunkti"/>
      </w:pPr>
      <w:r w:rsidRPr="00C0681C">
        <w:t xml:space="preserve">Saskaņā ar Regulas 2016/1388 </w:t>
      </w:r>
      <w:r w:rsidRPr="00C0681C">
        <w:rPr>
          <w:b/>
        </w:rPr>
        <w:t xml:space="preserve">29.panta 2.punkta e) </w:t>
      </w:r>
      <w:r w:rsidRPr="00C0681C">
        <w:t>apakšpunktu maksimālā</w:t>
      </w:r>
      <w:r w:rsidRPr="00C0681C">
        <w:rPr>
          <w:spacing w:val="-12"/>
        </w:rPr>
        <w:t xml:space="preserve"> </w:t>
      </w:r>
      <w:r w:rsidRPr="00C0681C">
        <w:t>frekvences</w:t>
      </w:r>
      <w:r w:rsidRPr="00C0681C">
        <w:rPr>
          <w:spacing w:val="-12"/>
        </w:rPr>
        <w:t xml:space="preserve"> </w:t>
      </w:r>
      <w:r w:rsidRPr="00C0681C">
        <w:t>novirze</w:t>
      </w:r>
      <w:r w:rsidR="0048531E" w:rsidRPr="00C0681C">
        <w:t>,</w:t>
      </w:r>
      <w:r w:rsidR="00F301C4" w:rsidRPr="00C0681C">
        <w:t xml:space="preserve"> uz kuru jāreaģē</w:t>
      </w:r>
      <w:r w:rsidR="0048531E" w:rsidRPr="00C0681C">
        <w:t>,</w:t>
      </w:r>
      <w:r w:rsidRPr="00C0681C">
        <w:t xml:space="preserve"> </w:t>
      </w:r>
      <w:r w:rsidR="009073AC" w:rsidRPr="00C0681C">
        <w:t>ir -1.0Hz un +1.5Hz</w:t>
      </w:r>
      <w:r w:rsidR="0048531E" w:rsidRPr="00C0681C">
        <w:t xml:space="preserve"> no</w:t>
      </w:r>
      <w:r w:rsidR="0048531E" w:rsidRPr="00C0681C">
        <w:rPr>
          <w:spacing w:val="-12"/>
        </w:rPr>
        <w:t xml:space="preserve"> </w:t>
      </w:r>
      <w:r w:rsidR="0048531E" w:rsidRPr="00C0681C">
        <w:t>nominālās</w:t>
      </w:r>
      <w:r w:rsidR="0048531E" w:rsidRPr="00C0681C">
        <w:rPr>
          <w:spacing w:val="-12"/>
        </w:rPr>
        <w:t xml:space="preserve"> </w:t>
      </w:r>
      <w:r w:rsidR="0048531E" w:rsidRPr="00C0681C">
        <w:t>vērtības</w:t>
      </w:r>
      <w:r w:rsidR="0048531E" w:rsidRPr="00C0681C">
        <w:rPr>
          <w:spacing w:val="-13"/>
        </w:rPr>
        <w:t xml:space="preserve"> </w:t>
      </w:r>
      <w:r w:rsidR="0048531E" w:rsidRPr="00C0681C">
        <w:t>50,00</w:t>
      </w:r>
      <w:r w:rsidR="0048531E" w:rsidRPr="00C0681C">
        <w:rPr>
          <w:spacing w:val="-12"/>
        </w:rPr>
        <w:t xml:space="preserve"> </w:t>
      </w:r>
      <w:r w:rsidR="0048531E" w:rsidRPr="00C0681C">
        <w:t>Hz</w:t>
      </w:r>
      <w:r w:rsidR="009073AC" w:rsidRPr="00C0681C">
        <w:t>.</w:t>
      </w:r>
    </w:p>
    <w:p w14:paraId="40F16D36" w14:textId="77777777" w:rsidR="001D278B" w:rsidRPr="00C0681C" w:rsidRDefault="001D278B" w:rsidP="00E51A9D">
      <w:pPr>
        <w:pStyle w:val="Heading1"/>
      </w:pPr>
    </w:p>
    <w:p w14:paraId="08F77841" w14:textId="77777777" w:rsidR="001D278B" w:rsidRPr="00C0681C" w:rsidRDefault="001D278B" w:rsidP="004A723C">
      <w:pPr>
        <w:pStyle w:val="Heading4"/>
      </w:pPr>
      <w:r w:rsidRPr="00C0681C">
        <w:t>Atbilstības testi un nodošana ekspluatācijā</w:t>
      </w:r>
    </w:p>
    <w:p w14:paraId="18CD129C" w14:textId="51CFDDD9" w:rsidR="001D278B" w:rsidRPr="00C0681C" w:rsidRDefault="001D278B" w:rsidP="00CE2C0A">
      <w:pPr>
        <w:pStyle w:val="ApakApakpunkti"/>
      </w:pPr>
      <w:r w:rsidRPr="00C0681C">
        <w:t xml:space="preserve">Atbilstības testi jāveic saskaņā ar Regulu 2016/1388. Papildus prasības </w:t>
      </w:r>
      <w:r w:rsidR="00A762E3" w:rsidRPr="00C0681C">
        <w:t xml:space="preserve">sistēmas operatori un PSO </w:t>
      </w:r>
      <w:r w:rsidRPr="00C0681C">
        <w:t>nenosaka. Atbilstības testi un to veikšanas kārtība noteikta Sabiedrisko pakalpojumu regulēšanas komisijas 2013. gada 26. jūnija padomes lēmumā Nr.1/4 "</w:t>
      </w:r>
      <w:r w:rsidR="00CE2C0A" w:rsidRPr="00C0681C">
        <w:t>Tīkla kodekss elektroenerģijas nozarē</w:t>
      </w:r>
      <w:r w:rsidR="00CE2C0A" w:rsidRPr="00C0681C" w:rsidDel="00CE2C0A">
        <w:t xml:space="preserve"> </w:t>
      </w:r>
      <w:r w:rsidRPr="00C0681C">
        <w:t>".</w:t>
      </w:r>
    </w:p>
    <w:p w14:paraId="0E4F989B" w14:textId="46544A7B" w:rsidR="001D278B" w:rsidRPr="00C0681C" w:rsidRDefault="001D278B" w:rsidP="00CE2C0A">
      <w:pPr>
        <w:pStyle w:val="ApakApakpunkti"/>
      </w:pPr>
      <w:r w:rsidRPr="00C0681C">
        <w:t>Nodošana ekspluatācijā jāveic saskaņā ar Regulu 2016/1388</w:t>
      </w:r>
      <w:r w:rsidR="006F0ECC" w:rsidRPr="00C0681C">
        <w:t>,</w:t>
      </w:r>
      <w:r w:rsidRPr="00C0681C">
        <w:t xml:space="preserve"> Sabiedrisko pakalpojumu regulēšanas komisijas 2013. gada 26. jūnija padomes lēmumu Nr.1/4 "</w:t>
      </w:r>
      <w:r w:rsidR="00CE2C0A" w:rsidRPr="00C0681C">
        <w:t xml:space="preserve"> Tīkla kodekss elektroenerģijas nozarē </w:t>
      </w:r>
      <w:r w:rsidRPr="00C0681C">
        <w:t>" un Sabiedrisko pakalpojumu regulēšanas komisijas 201</w:t>
      </w:r>
      <w:r w:rsidR="00E301CA" w:rsidRPr="00C0681C">
        <w:t>8. gada 27</w:t>
      </w:r>
      <w:r w:rsidRPr="00C0681C">
        <w:t xml:space="preserve">. </w:t>
      </w:r>
      <w:r w:rsidR="00E301CA" w:rsidRPr="00C0681C">
        <w:t>marta</w:t>
      </w:r>
      <w:r w:rsidRPr="00C0681C">
        <w:t xml:space="preserve"> padomes lēmuma Nr.1/</w:t>
      </w:r>
      <w:r w:rsidR="00E301CA" w:rsidRPr="00C0681C">
        <w:t>7</w:t>
      </w:r>
      <w:r w:rsidRPr="00C0681C">
        <w:t xml:space="preserve"> “Sistēmas pieslēguma noteikumi</w:t>
      </w:r>
      <w:r w:rsidR="00E301CA" w:rsidRPr="00C0681C">
        <w:t xml:space="preserve"> elektroenerģijas sistēmas dalībniekiem</w:t>
      </w:r>
      <w:r w:rsidRPr="00C0681C">
        <w:t>” noteikumiem.</w:t>
      </w:r>
      <w:r w:rsidR="006F0ECC" w:rsidRPr="00C0681C">
        <w:t xml:space="preserve"> Papildus prasības SO nenosaka.</w:t>
      </w:r>
    </w:p>
    <w:p w14:paraId="1E9E330D" w14:textId="77777777" w:rsidR="009073AC" w:rsidRPr="00C0681C" w:rsidRDefault="009073AC" w:rsidP="009073AC">
      <w:pPr>
        <w:pStyle w:val="Apakpunkti"/>
        <w:numPr>
          <w:ilvl w:val="0"/>
          <w:numId w:val="0"/>
        </w:numPr>
        <w:ind w:left="1069"/>
        <w:rPr>
          <w:lang w:eastAsia="en-US"/>
        </w:rPr>
      </w:pPr>
    </w:p>
    <w:p w14:paraId="36192ACD" w14:textId="77777777" w:rsidR="001D278B" w:rsidRPr="00C0681C" w:rsidRDefault="001D278B" w:rsidP="004A723C">
      <w:pPr>
        <w:pStyle w:val="Heading4"/>
      </w:pPr>
      <w:r w:rsidRPr="00C0681C">
        <w:t>Noslēguma jautājumi</w:t>
      </w:r>
    </w:p>
    <w:p w14:paraId="7E8BD356" w14:textId="3D0209E5" w:rsidR="009073AC" w:rsidRPr="00C0681C" w:rsidRDefault="00B328FF" w:rsidP="00E51A9D">
      <w:pPr>
        <w:pStyle w:val="ApakApakpunkti"/>
      </w:pPr>
      <w:r w:rsidRPr="00C0681C">
        <w:t>Sistēmas operatori</w:t>
      </w:r>
      <w:r w:rsidR="001D278B" w:rsidRPr="00C0681C">
        <w:t xml:space="preserve"> </w:t>
      </w:r>
      <w:r w:rsidRPr="00C0681C">
        <w:t xml:space="preserve"> un PSO </w:t>
      </w:r>
      <w:r w:rsidR="001D278B" w:rsidRPr="00C0681C">
        <w:t>saskaņā ar Regulas 2016/1388</w:t>
      </w:r>
      <w:r w:rsidR="001D278B" w:rsidRPr="00C0681C" w:rsidDel="002F57E7">
        <w:t xml:space="preserve"> </w:t>
      </w:r>
      <w:r w:rsidR="001D278B" w:rsidRPr="00C0681C">
        <w:t>6. panta 7. punkt</w:t>
      </w:r>
      <w:r w:rsidR="00F36A56" w:rsidRPr="00C0681C">
        <w:t>u</w:t>
      </w:r>
      <w:r w:rsidR="001D278B" w:rsidRPr="00C0681C">
        <w:t xml:space="preserve"> ir tiesīg</w:t>
      </w:r>
      <w:r w:rsidRPr="00C0681C">
        <w:t>i</w:t>
      </w:r>
      <w:r w:rsidR="001D278B" w:rsidRPr="00C0681C">
        <w:t xml:space="preserve"> </w:t>
      </w:r>
      <w:r w:rsidR="00885AF2" w:rsidRPr="00C0681C">
        <w:t xml:space="preserve">ierosināt </w:t>
      </w:r>
      <w:r w:rsidR="001D278B" w:rsidRPr="00C0681C">
        <w:t xml:space="preserve">Sabiedrisko pakalpojumu regulēšanas komisijai </w:t>
      </w:r>
      <w:r w:rsidR="00885AF2" w:rsidRPr="00C0681C">
        <w:t xml:space="preserve">veikt grozījumus </w:t>
      </w:r>
      <w:r w:rsidR="00F36A56" w:rsidRPr="00C0681C">
        <w:t>šajā</w:t>
      </w:r>
      <w:r w:rsidR="00A762E3" w:rsidRPr="00C0681C">
        <w:t xml:space="preserve"> D</w:t>
      </w:r>
      <w:r w:rsidR="00F36A56" w:rsidRPr="00C0681C">
        <w:t>okumentā noteiktajās</w:t>
      </w:r>
      <w:r w:rsidR="00885AF2" w:rsidRPr="00C0681C">
        <w:t xml:space="preserve"> prasībās</w:t>
      </w:r>
      <w:r w:rsidR="001D278B" w:rsidRPr="00C0681C">
        <w:t>.</w:t>
      </w:r>
    </w:p>
    <w:p w14:paraId="5537746A" w14:textId="28CB1BCC" w:rsidR="001D278B" w:rsidRPr="00C0681C" w:rsidRDefault="001D278B" w:rsidP="00E51A9D">
      <w:pPr>
        <w:pStyle w:val="ApakApakpunkti"/>
      </w:pPr>
      <w:r w:rsidRPr="00C0681C">
        <w:t>PSO pārskata šo Dokumentu</w:t>
      </w:r>
      <w:r w:rsidR="00A762E3" w:rsidRPr="00C0681C">
        <w:t xml:space="preserve"> </w:t>
      </w:r>
      <w:r w:rsidRPr="00C0681C">
        <w:t xml:space="preserve">attiecībā uz </w:t>
      </w:r>
      <w:r w:rsidR="008969F3" w:rsidRPr="00C0681C">
        <w:t xml:space="preserve">visām pārvades sistēmai pieslēgtām pieprasījumietaisēm, pārvades sistēmai pieslēgtāmām sadales sistēmāmām </w:t>
      </w:r>
      <w:r w:rsidRPr="00C0681C">
        <w:t xml:space="preserve">(arī </w:t>
      </w:r>
      <w:r w:rsidR="008969F3" w:rsidRPr="00C0681C">
        <w:t>esošajām</w:t>
      </w:r>
      <w:r w:rsidRPr="00C0681C">
        <w:t xml:space="preserve">), </w:t>
      </w:r>
      <w:r w:rsidR="008969F3" w:rsidRPr="00C0681C">
        <w:t xml:space="preserve">kuras </w:t>
      </w:r>
      <w:r w:rsidRPr="00C0681C">
        <w:t>ietekmē frekvences stabilitāti, ja mainās Latvijas elektroenerģijas pārvades sistēmas sinhronizācijas zona. Visas nepieciešamās izmaiņas šajā Dokumentā PSO iesniedz Sabiedrisko pakalpojumu regulēšanas komisijai apstiprināšanai.</w:t>
      </w:r>
    </w:p>
    <w:p w14:paraId="4B79EF2F" w14:textId="77777777" w:rsidR="0099059C" w:rsidRPr="004A723C" w:rsidRDefault="0099059C" w:rsidP="009073AC">
      <w:pPr>
        <w:pStyle w:val="ApakApakpunkti"/>
        <w:numPr>
          <w:ilvl w:val="0"/>
          <w:numId w:val="0"/>
        </w:numPr>
      </w:pPr>
    </w:p>
    <w:sectPr w:rsidR="0099059C" w:rsidRPr="004A72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1E4F"/>
    <w:multiLevelType w:val="hybridMultilevel"/>
    <w:tmpl w:val="D0B8ADF6"/>
    <w:lvl w:ilvl="0" w:tplc="504A780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>
    <w:nsid w:val="091E7ACE"/>
    <w:multiLevelType w:val="hybridMultilevel"/>
    <w:tmpl w:val="1C36A4C0"/>
    <w:lvl w:ilvl="0" w:tplc="EBB0693C">
      <w:start w:val="1"/>
      <w:numFmt w:val="lowerLetter"/>
      <w:lvlText w:val="%1)"/>
      <w:lvlJc w:val="left"/>
      <w:pPr>
        <w:ind w:left="871" w:hanging="245"/>
      </w:pPr>
      <w:rPr>
        <w:rFonts w:ascii="Cambria" w:eastAsia="Cambria" w:hAnsi="Cambria" w:cs="Cambria" w:hint="default"/>
        <w:w w:val="79"/>
        <w:sz w:val="19"/>
        <w:szCs w:val="19"/>
      </w:rPr>
    </w:lvl>
    <w:lvl w:ilvl="1" w:tplc="BC8CD4A6">
      <w:numFmt w:val="bullet"/>
      <w:lvlText w:val="•"/>
      <w:lvlJc w:val="left"/>
      <w:pPr>
        <w:ind w:left="1838" w:hanging="245"/>
      </w:pPr>
      <w:rPr>
        <w:rFonts w:hint="default"/>
      </w:rPr>
    </w:lvl>
    <w:lvl w:ilvl="2" w:tplc="92D8E7FC">
      <w:numFmt w:val="bullet"/>
      <w:lvlText w:val="•"/>
      <w:lvlJc w:val="left"/>
      <w:pPr>
        <w:ind w:left="2797" w:hanging="245"/>
      </w:pPr>
      <w:rPr>
        <w:rFonts w:hint="default"/>
      </w:rPr>
    </w:lvl>
    <w:lvl w:ilvl="3" w:tplc="6C3EF6E4">
      <w:numFmt w:val="bullet"/>
      <w:lvlText w:val="•"/>
      <w:lvlJc w:val="left"/>
      <w:pPr>
        <w:ind w:left="3755" w:hanging="245"/>
      </w:pPr>
      <w:rPr>
        <w:rFonts w:hint="default"/>
      </w:rPr>
    </w:lvl>
    <w:lvl w:ilvl="4" w:tplc="2C74C818">
      <w:numFmt w:val="bullet"/>
      <w:lvlText w:val="•"/>
      <w:lvlJc w:val="left"/>
      <w:pPr>
        <w:ind w:left="4714" w:hanging="245"/>
      </w:pPr>
      <w:rPr>
        <w:rFonts w:hint="default"/>
      </w:rPr>
    </w:lvl>
    <w:lvl w:ilvl="5" w:tplc="DDD8596A">
      <w:numFmt w:val="bullet"/>
      <w:lvlText w:val="•"/>
      <w:lvlJc w:val="left"/>
      <w:pPr>
        <w:ind w:left="5672" w:hanging="245"/>
      </w:pPr>
      <w:rPr>
        <w:rFonts w:hint="default"/>
      </w:rPr>
    </w:lvl>
    <w:lvl w:ilvl="6" w:tplc="9418CDDC">
      <w:numFmt w:val="bullet"/>
      <w:lvlText w:val="•"/>
      <w:lvlJc w:val="left"/>
      <w:pPr>
        <w:ind w:left="6631" w:hanging="245"/>
      </w:pPr>
      <w:rPr>
        <w:rFonts w:hint="default"/>
      </w:rPr>
    </w:lvl>
    <w:lvl w:ilvl="7" w:tplc="F62C814A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946EBA36">
      <w:numFmt w:val="bullet"/>
      <w:lvlText w:val="•"/>
      <w:lvlJc w:val="left"/>
      <w:pPr>
        <w:ind w:left="8548" w:hanging="245"/>
      </w:pPr>
      <w:rPr>
        <w:rFonts w:hint="default"/>
      </w:rPr>
    </w:lvl>
  </w:abstractNum>
  <w:abstractNum w:abstractNumId="2">
    <w:nsid w:val="0EC9596C"/>
    <w:multiLevelType w:val="hybridMultilevel"/>
    <w:tmpl w:val="AC2E12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85817"/>
    <w:multiLevelType w:val="hybridMultilevel"/>
    <w:tmpl w:val="ABCAD9A4"/>
    <w:lvl w:ilvl="0" w:tplc="64825F54">
      <w:start w:val="2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w w:val="95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00EB8"/>
    <w:multiLevelType w:val="hybridMultilevel"/>
    <w:tmpl w:val="B434D212"/>
    <w:lvl w:ilvl="0" w:tplc="9FB215B6">
      <w:start w:val="1"/>
      <w:numFmt w:val="decimal"/>
      <w:lvlText w:val="2.2.2.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43B2ABF"/>
    <w:multiLevelType w:val="hybridMultilevel"/>
    <w:tmpl w:val="25D830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B3B32"/>
    <w:multiLevelType w:val="hybridMultilevel"/>
    <w:tmpl w:val="5A9C951A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6B100EA"/>
    <w:multiLevelType w:val="hybridMultilevel"/>
    <w:tmpl w:val="5A9EBA72"/>
    <w:lvl w:ilvl="0" w:tplc="310019F4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 w:hint="default"/>
        <w:w w:val="99"/>
        <w:sz w:val="19"/>
        <w:szCs w:val="19"/>
      </w:rPr>
    </w:lvl>
    <w:lvl w:ilvl="1" w:tplc="1926323C">
      <w:numFmt w:val="bullet"/>
      <w:lvlText w:val="•"/>
      <w:lvlJc w:val="left"/>
      <w:pPr>
        <w:ind w:left="5200" w:hanging="432"/>
      </w:pPr>
      <w:rPr>
        <w:rFonts w:hint="default"/>
      </w:rPr>
    </w:lvl>
    <w:lvl w:ilvl="2" w:tplc="94BEE50C">
      <w:numFmt w:val="bullet"/>
      <w:lvlText w:val="•"/>
      <w:lvlJc w:val="left"/>
      <w:pPr>
        <w:ind w:left="5785" w:hanging="432"/>
      </w:pPr>
      <w:rPr>
        <w:rFonts w:hint="default"/>
      </w:rPr>
    </w:lvl>
    <w:lvl w:ilvl="3" w:tplc="7B6A16AA">
      <w:numFmt w:val="bullet"/>
      <w:lvlText w:val="•"/>
      <w:lvlJc w:val="left"/>
      <w:pPr>
        <w:ind w:left="6370" w:hanging="432"/>
      </w:pPr>
      <w:rPr>
        <w:rFonts w:hint="default"/>
      </w:rPr>
    </w:lvl>
    <w:lvl w:ilvl="4" w:tplc="D77A12A2">
      <w:numFmt w:val="bullet"/>
      <w:lvlText w:val="•"/>
      <w:lvlJc w:val="left"/>
      <w:pPr>
        <w:ind w:left="6955" w:hanging="432"/>
      </w:pPr>
      <w:rPr>
        <w:rFonts w:hint="default"/>
      </w:rPr>
    </w:lvl>
    <w:lvl w:ilvl="5" w:tplc="246A8386">
      <w:numFmt w:val="bullet"/>
      <w:lvlText w:val="•"/>
      <w:lvlJc w:val="left"/>
      <w:pPr>
        <w:ind w:left="7540" w:hanging="432"/>
      </w:pPr>
      <w:rPr>
        <w:rFonts w:hint="default"/>
      </w:rPr>
    </w:lvl>
    <w:lvl w:ilvl="6" w:tplc="4F6E910A">
      <w:numFmt w:val="bullet"/>
      <w:lvlText w:val="•"/>
      <w:lvlJc w:val="left"/>
      <w:pPr>
        <w:ind w:left="8125" w:hanging="432"/>
      </w:pPr>
      <w:rPr>
        <w:rFonts w:hint="default"/>
      </w:rPr>
    </w:lvl>
    <w:lvl w:ilvl="7" w:tplc="D80CD824">
      <w:numFmt w:val="bullet"/>
      <w:lvlText w:val="•"/>
      <w:lvlJc w:val="left"/>
      <w:pPr>
        <w:ind w:left="8710" w:hanging="432"/>
      </w:pPr>
      <w:rPr>
        <w:rFonts w:hint="default"/>
      </w:rPr>
    </w:lvl>
    <w:lvl w:ilvl="8" w:tplc="5CCEDAD2">
      <w:numFmt w:val="bullet"/>
      <w:lvlText w:val="•"/>
      <w:lvlJc w:val="left"/>
      <w:pPr>
        <w:ind w:left="9295" w:hanging="432"/>
      </w:pPr>
      <w:rPr>
        <w:rFonts w:hint="default"/>
      </w:rPr>
    </w:lvl>
  </w:abstractNum>
  <w:abstractNum w:abstractNumId="8">
    <w:nsid w:val="28A17011"/>
    <w:multiLevelType w:val="multilevel"/>
    <w:tmpl w:val="488C90C6"/>
    <w:lvl w:ilvl="0">
      <w:start w:val="16"/>
      <w:numFmt w:val="decimal"/>
      <w:lvlText w:val="%1."/>
      <w:lvlJc w:val="left"/>
      <w:pPr>
        <w:ind w:left="314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59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2B8C4B9C"/>
    <w:multiLevelType w:val="hybridMultilevel"/>
    <w:tmpl w:val="0A9A32E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64FE12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 w:val="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9D3386"/>
    <w:multiLevelType w:val="hybridMultilevel"/>
    <w:tmpl w:val="30F6B068"/>
    <w:lvl w:ilvl="0" w:tplc="6BECA11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DA05233"/>
    <w:multiLevelType w:val="multilevel"/>
    <w:tmpl w:val="32A09CB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8"/>
        <w:u w:val="none"/>
        <w:effect w:val="none"/>
        <w:vertAlign w:val="baseline"/>
        <w:specVanish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92"/>
        </w:tabs>
        <w:ind w:left="935" w:hanging="51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247"/>
        </w:tabs>
        <w:ind w:left="5613" w:hanging="504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977"/>
        </w:tabs>
        <w:ind w:left="977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21"/>
        </w:tabs>
        <w:ind w:left="1121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5"/>
        </w:tabs>
        <w:ind w:left="126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9"/>
        </w:tabs>
        <w:ind w:left="140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97"/>
        </w:tabs>
        <w:ind w:left="1697" w:hanging="1584"/>
      </w:pPr>
      <w:rPr>
        <w:rFonts w:hint="default"/>
      </w:rPr>
    </w:lvl>
  </w:abstractNum>
  <w:abstractNum w:abstractNumId="12">
    <w:nsid w:val="3DFF1B5C"/>
    <w:multiLevelType w:val="hybridMultilevel"/>
    <w:tmpl w:val="BEE28FF0"/>
    <w:lvl w:ilvl="0" w:tplc="8C88D77E">
      <w:start w:val="1"/>
      <w:numFmt w:val="decimal"/>
      <w:lvlText w:val="%1."/>
      <w:lvlJc w:val="left"/>
      <w:pPr>
        <w:ind w:left="627" w:hanging="432"/>
      </w:pPr>
      <w:rPr>
        <w:rFonts w:ascii="Cambria" w:eastAsia="Cambria" w:hAnsi="Cambria" w:cs="Cambria" w:hint="default"/>
        <w:w w:val="99"/>
        <w:sz w:val="19"/>
        <w:szCs w:val="19"/>
      </w:rPr>
    </w:lvl>
    <w:lvl w:ilvl="1" w:tplc="B52CDD3A">
      <w:numFmt w:val="bullet"/>
      <w:lvlText w:val="•"/>
      <w:lvlJc w:val="left"/>
      <w:pPr>
        <w:ind w:left="1080" w:hanging="432"/>
      </w:pPr>
      <w:rPr>
        <w:rFonts w:hint="default"/>
      </w:rPr>
    </w:lvl>
    <w:lvl w:ilvl="2" w:tplc="9FD2B9F6">
      <w:numFmt w:val="bullet"/>
      <w:lvlText w:val="•"/>
      <w:lvlJc w:val="left"/>
      <w:pPr>
        <w:ind w:left="5200" w:hanging="432"/>
      </w:pPr>
      <w:rPr>
        <w:rFonts w:hint="default"/>
      </w:rPr>
    </w:lvl>
    <w:lvl w:ilvl="3" w:tplc="C786E146">
      <w:numFmt w:val="bullet"/>
      <w:lvlText w:val="•"/>
      <w:lvlJc w:val="left"/>
      <w:pPr>
        <w:ind w:left="5858" w:hanging="432"/>
      </w:pPr>
      <w:rPr>
        <w:rFonts w:hint="default"/>
      </w:rPr>
    </w:lvl>
    <w:lvl w:ilvl="4" w:tplc="F13C1B06">
      <w:numFmt w:val="bullet"/>
      <w:lvlText w:val="•"/>
      <w:lvlJc w:val="left"/>
      <w:pPr>
        <w:ind w:left="6516" w:hanging="432"/>
      </w:pPr>
      <w:rPr>
        <w:rFonts w:hint="default"/>
      </w:rPr>
    </w:lvl>
    <w:lvl w:ilvl="5" w:tplc="315E3C1E">
      <w:numFmt w:val="bullet"/>
      <w:lvlText w:val="•"/>
      <w:lvlJc w:val="left"/>
      <w:pPr>
        <w:ind w:left="7174" w:hanging="432"/>
      </w:pPr>
      <w:rPr>
        <w:rFonts w:hint="default"/>
      </w:rPr>
    </w:lvl>
    <w:lvl w:ilvl="6" w:tplc="C7EA0722">
      <w:numFmt w:val="bullet"/>
      <w:lvlText w:val="•"/>
      <w:lvlJc w:val="left"/>
      <w:pPr>
        <w:ind w:left="7832" w:hanging="432"/>
      </w:pPr>
      <w:rPr>
        <w:rFonts w:hint="default"/>
      </w:rPr>
    </w:lvl>
    <w:lvl w:ilvl="7" w:tplc="1C42838A">
      <w:numFmt w:val="bullet"/>
      <w:lvlText w:val="•"/>
      <w:lvlJc w:val="left"/>
      <w:pPr>
        <w:ind w:left="8490" w:hanging="432"/>
      </w:pPr>
      <w:rPr>
        <w:rFonts w:hint="default"/>
      </w:rPr>
    </w:lvl>
    <w:lvl w:ilvl="8" w:tplc="B4548108">
      <w:numFmt w:val="bullet"/>
      <w:lvlText w:val="•"/>
      <w:lvlJc w:val="left"/>
      <w:pPr>
        <w:ind w:left="9149" w:hanging="432"/>
      </w:pPr>
      <w:rPr>
        <w:rFonts w:hint="default"/>
      </w:rPr>
    </w:lvl>
  </w:abstractNum>
  <w:abstractNum w:abstractNumId="13">
    <w:nsid w:val="415939C8"/>
    <w:multiLevelType w:val="hybridMultilevel"/>
    <w:tmpl w:val="00C0094E"/>
    <w:lvl w:ilvl="0" w:tplc="04260001">
      <w:start w:val="1"/>
      <w:numFmt w:val="bullet"/>
      <w:lvlText w:val=""/>
      <w:lvlJc w:val="left"/>
      <w:pPr>
        <w:ind w:left="875" w:hanging="249"/>
      </w:pPr>
      <w:rPr>
        <w:rFonts w:ascii="Symbol" w:hAnsi="Symbol" w:hint="default"/>
        <w:w w:val="79"/>
        <w:sz w:val="19"/>
        <w:szCs w:val="19"/>
      </w:rPr>
    </w:lvl>
    <w:lvl w:ilvl="1" w:tplc="6AC47D7C">
      <w:numFmt w:val="bullet"/>
      <w:lvlText w:val="•"/>
      <w:lvlJc w:val="left"/>
      <w:pPr>
        <w:ind w:left="1838" w:hanging="249"/>
      </w:pPr>
      <w:rPr>
        <w:rFonts w:hint="default"/>
      </w:rPr>
    </w:lvl>
    <w:lvl w:ilvl="2" w:tplc="5D3C24DA">
      <w:numFmt w:val="bullet"/>
      <w:lvlText w:val="•"/>
      <w:lvlJc w:val="left"/>
      <w:pPr>
        <w:ind w:left="2797" w:hanging="249"/>
      </w:pPr>
      <w:rPr>
        <w:rFonts w:hint="default"/>
      </w:rPr>
    </w:lvl>
    <w:lvl w:ilvl="3" w:tplc="3E8871EA">
      <w:numFmt w:val="bullet"/>
      <w:lvlText w:val="•"/>
      <w:lvlJc w:val="left"/>
      <w:pPr>
        <w:ind w:left="3755" w:hanging="249"/>
      </w:pPr>
      <w:rPr>
        <w:rFonts w:hint="default"/>
      </w:rPr>
    </w:lvl>
    <w:lvl w:ilvl="4" w:tplc="B2C4AEEE">
      <w:numFmt w:val="bullet"/>
      <w:lvlText w:val="•"/>
      <w:lvlJc w:val="left"/>
      <w:pPr>
        <w:ind w:left="4714" w:hanging="249"/>
      </w:pPr>
      <w:rPr>
        <w:rFonts w:hint="default"/>
      </w:rPr>
    </w:lvl>
    <w:lvl w:ilvl="5" w:tplc="4BB0103C">
      <w:numFmt w:val="bullet"/>
      <w:lvlText w:val="•"/>
      <w:lvlJc w:val="left"/>
      <w:pPr>
        <w:ind w:left="5672" w:hanging="249"/>
      </w:pPr>
      <w:rPr>
        <w:rFonts w:hint="default"/>
      </w:rPr>
    </w:lvl>
    <w:lvl w:ilvl="6" w:tplc="519C59F0">
      <w:numFmt w:val="bullet"/>
      <w:lvlText w:val="•"/>
      <w:lvlJc w:val="left"/>
      <w:pPr>
        <w:ind w:left="6631" w:hanging="249"/>
      </w:pPr>
      <w:rPr>
        <w:rFonts w:hint="default"/>
      </w:rPr>
    </w:lvl>
    <w:lvl w:ilvl="7" w:tplc="A4BE79A0">
      <w:numFmt w:val="bullet"/>
      <w:lvlText w:val="•"/>
      <w:lvlJc w:val="left"/>
      <w:pPr>
        <w:ind w:left="7589" w:hanging="249"/>
      </w:pPr>
      <w:rPr>
        <w:rFonts w:hint="default"/>
      </w:rPr>
    </w:lvl>
    <w:lvl w:ilvl="8" w:tplc="5E925C2C">
      <w:numFmt w:val="bullet"/>
      <w:lvlText w:val="•"/>
      <w:lvlJc w:val="left"/>
      <w:pPr>
        <w:ind w:left="8548" w:hanging="249"/>
      </w:pPr>
      <w:rPr>
        <w:rFonts w:hint="default"/>
      </w:rPr>
    </w:lvl>
  </w:abstractNum>
  <w:abstractNum w:abstractNumId="14">
    <w:nsid w:val="437948ED"/>
    <w:multiLevelType w:val="hybridMultilevel"/>
    <w:tmpl w:val="DE46B9D0"/>
    <w:lvl w:ilvl="0" w:tplc="0E2C3172">
      <w:start w:val="1"/>
      <w:numFmt w:val="lowerLetter"/>
      <w:lvlText w:val="%1)"/>
      <w:lvlJc w:val="left"/>
      <w:pPr>
        <w:ind w:left="875" w:hanging="249"/>
      </w:pPr>
      <w:rPr>
        <w:rFonts w:ascii="Cambria" w:eastAsia="Cambria" w:hAnsi="Cambria" w:cs="Cambria" w:hint="default"/>
        <w:w w:val="79"/>
        <w:sz w:val="19"/>
        <w:szCs w:val="19"/>
      </w:rPr>
    </w:lvl>
    <w:lvl w:ilvl="1" w:tplc="6AC47D7C">
      <w:numFmt w:val="bullet"/>
      <w:lvlText w:val="•"/>
      <w:lvlJc w:val="left"/>
      <w:pPr>
        <w:ind w:left="1838" w:hanging="249"/>
      </w:pPr>
      <w:rPr>
        <w:rFonts w:hint="default"/>
      </w:rPr>
    </w:lvl>
    <w:lvl w:ilvl="2" w:tplc="5D3C24DA">
      <w:numFmt w:val="bullet"/>
      <w:lvlText w:val="•"/>
      <w:lvlJc w:val="left"/>
      <w:pPr>
        <w:ind w:left="2797" w:hanging="249"/>
      </w:pPr>
      <w:rPr>
        <w:rFonts w:hint="default"/>
      </w:rPr>
    </w:lvl>
    <w:lvl w:ilvl="3" w:tplc="3E8871EA">
      <w:numFmt w:val="bullet"/>
      <w:lvlText w:val="•"/>
      <w:lvlJc w:val="left"/>
      <w:pPr>
        <w:ind w:left="3755" w:hanging="249"/>
      </w:pPr>
      <w:rPr>
        <w:rFonts w:hint="default"/>
      </w:rPr>
    </w:lvl>
    <w:lvl w:ilvl="4" w:tplc="B2C4AEEE">
      <w:numFmt w:val="bullet"/>
      <w:lvlText w:val="•"/>
      <w:lvlJc w:val="left"/>
      <w:pPr>
        <w:ind w:left="4714" w:hanging="249"/>
      </w:pPr>
      <w:rPr>
        <w:rFonts w:hint="default"/>
      </w:rPr>
    </w:lvl>
    <w:lvl w:ilvl="5" w:tplc="4BB0103C">
      <w:numFmt w:val="bullet"/>
      <w:lvlText w:val="•"/>
      <w:lvlJc w:val="left"/>
      <w:pPr>
        <w:ind w:left="5672" w:hanging="249"/>
      </w:pPr>
      <w:rPr>
        <w:rFonts w:hint="default"/>
      </w:rPr>
    </w:lvl>
    <w:lvl w:ilvl="6" w:tplc="519C59F0">
      <w:numFmt w:val="bullet"/>
      <w:lvlText w:val="•"/>
      <w:lvlJc w:val="left"/>
      <w:pPr>
        <w:ind w:left="6631" w:hanging="249"/>
      </w:pPr>
      <w:rPr>
        <w:rFonts w:hint="default"/>
      </w:rPr>
    </w:lvl>
    <w:lvl w:ilvl="7" w:tplc="A4BE79A0">
      <w:numFmt w:val="bullet"/>
      <w:lvlText w:val="•"/>
      <w:lvlJc w:val="left"/>
      <w:pPr>
        <w:ind w:left="7589" w:hanging="249"/>
      </w:pPr>
      <w:rPr>
        <w:rFonts w:hint="default"/>
      </w:rPr>
    </w:lvl>
    <w:lvl w:ilvl="8" w:tplc="5E925C2C">
      <w:numFmt w:val="bullet"/>
      <w:lvlText w:val="•"/>
      <w:lvlJc w:val="left"/>
      <w:pPr>
        <w:ind w:left="8548" w:hanging="249"/>
      </w:pPr>
      <w:rPr>
        <w:rFonts w:hint="default"/>
      </w:rPr>
    </w:lvl>
  </w:abstractNum>
  <w:abstractNum w:abstractNumId="15">
    <w:nsid w:val="46D645DC"/>
    <w:multiLevelType w:val="multilevel"/>
    <w:tmpl w:val="AD3698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1800"/>
      </w:pPr>
      <w:rPr>
        <w:rFonts w:hint="default"/>
      </w:rPr>
    </w:lvl>
  </w:abstractNum>
  <w:abstractNum w:abstractNumId="16">
    <w:nsid w:val="4A4E69C2"/>
    <w:multiLevelType w:val="hybridMultilevel"/>
    <w:tmpl w:val="F77E293C"/>
    <w:lvl w:ilvl="0" w:tplc="04260001">
      <w:start w:val="1"/>
      <w:numFmt w:val="bullet"/>
      <w:lvlText w:val=""/>
      <w:lvlJc w:val="left"/>
      <w:pPr>
        <w:ind w:left="1373" w:hanging="249"/>
      </w:pPr>
      <w:rPr>
        <w:rFonts w:ascii="Symbol" w:hAnsi="Symbol" w:hint="default"/>
        <w:w w:val="79"/>
        <w:sz w:val="19"/>
        <w:szCs w:val="19"/>
      </w:rPr>
    </w:lvl>
    <w:lvl w:ilvl="1" w:tplc="6AC47D7C">
      <w:numFmt w:val="bullet"/>
      <w:lvlText w:val="•"/>
      <w:lvlJc w:val="left"/>
      <w:pPr>
        <w:ind w:left="2336" w:hanging="249"/>
      </w:pPr>
      <w:rPr>
        <w:rFonts w:hint="default"/>
      </w:rPr>
    </w:lvl>
    <w:lvl w:ilvl="2" w:tplc="5D3C24DA">
      <w:numFmt w:val="bullet"/>
      <w:lvlText w:val="•"/>
      <w:lvlJc w:val="left"/>
      <w:pPr>
        <w:ind w:left="3295" w:hanging="249"/>
      </w:pPr>
      <w:rPr>
        <w:rFonts w:hint="default"/>
      </w:rPr>
    </w:lvl>
    <w:lvl w:ilvl="3" w:tplc="3E8871EA">
      <w:numFmt w:val="bullet"/>
      <w:lvlText w:val="•"/>
      <w:lvlJc w:val="left"/>
      <w:pPr>
        <w:ind w:left="4253" w:hanging="249"/>
      </w:pPr>
      <w:rPr>
        <w:rFonts w:hint="default"/>
      </w:rPr>
    </w:lvl>
    <w:lvl w:ilvl="4" w:tplc="B2C4AEEE">
      <w:numFmt w:val="bullet"/>
      <w:lvlText w:val="•"/>
      <w:lvlJc w:val="left"/>
      <w:pPr>
        <w:ind w:left="5212" w:hanging="249"/>
      </w:pPr>
      <w:rPr>
        <w:rFonts w:hint="default"/>
      </w:rPr>
    </w:lvl>
    <w:lvl w:ilvl="5" w:tplc="4BB0103C">
      <w:numFmt w:val="bullet"/>
      <w:lvlText w:val="•"/>
      <w:lvlJc w:val="left"/>
      <w:pPr>
        <w:ind w:left="6170" w:hanging="249"/>
      </w:pPr>
      <w:rPr>
        <w:rFonts w:hint="default"/>
      </w:rPr>
    </w:lvl>
    <w:lvl w:ilvl="6" w:tplc="519C59F0">
      <w:numFmt w:val="bullet"/>
      <w:lvlText w:val="•"/>
      <w:lvlJc w:val="left"/>
      <w:pPr>
        <w:ind w:left="7129" w:hanging="249"/>
      </w:pPr>
      <w:rPr>
        <w:rFonts w:hint="default"/>
      </w:rPr>
    </w:lvl>
    <w:lvl w:ilvl="7" w:tplc="A4BE79A0">
      <w:numFmt w:val="bullet"/>
      <w:lvlText w:val="•"/>
      <w:lvlJc w:val="left"/>
      <w:pPr>
        <w:ind w:left="8087" w:hanging="249"/>
      </w:pPr>
      <w:rPr>
        <w:rFonts w:hint="default"/>
      </w:rPr>
    </w:lvl>
    <w:lvl w:ilvl="8" w:tplc="5E925C2C">
      <w:numFmt w:val="bullet"/>
      <w:lvlText w:val="•"/>
      <w:lvlJc w:val="left"/>
      <w:pPr>
        <w:ind w:left="9046" w:hanging="249"/>
      </w:pPr>
      <w:rPr>
        <w:rFonts w:hint="default"/>
      </w:rPr>
    </w:lvl>
  </w:abstractNum>
  <w:abstractNum w:abstractNumId="17">
    <w:nsid w:val="5E32749C"/>
    <w:multiLevelType w:val="multilevel"/>
    <w:tmpl w:val="6D222AFC"/>
    <w:lvl w:ilvl="0">
      <w:start w:val="1"/>
      <w:numFmt w:val="decimal"/>
      <w:pStyle w:val="ApakApakpunkti"/>
      <w:lvlText w:val="%1."/>
      <w:lvlJc w:val="left"/>
      <w:pPr>
        <w:ind w:left="2061" w:hanging="360"/>
      </w:pPr>
    </w:lvl>
    <w:lvl w:ilvl="1">
      <w:start w:val="1"/>
      <w:numFmt w:val="decimal"/>
      <w:isLgl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18">
    <w:nsid w:val="5EA65CAD"/>
    <w:multiLevelType w:val="hybridMultilevel"/>
    <w:tmpl w:val="6F429E8A"/>
    <w:lvl w:ilvl="0" w:tplc="8B92FEFA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672DB"/>
    <w:multiLevelType w:val="hybridMultilevel"/>
    <w:tmpl w:val="D8D63A7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0F">
      <w:start w:val="1"/>
      <w:numFmt w:val="decimal"/>
      <w:lvlText w:val="%2."/>
      <w:lvlJc w:val="left"/>
      <w:pPr>
        <w:ind w:left="1353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70A3B54"/>
    <w:multiLevelType w:val="hybridMultilevel"/>
    <w:tmpl w:val="3BEE67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72757"/>
    <w:multiLevelType w:val="hybridMultilevel"/>
    <w:tmpl w:val="FC1A1D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502ACA"/>
    <w:multiLevelType w:val="hybridMultilevel"/>
    <w:tmpl w:val="9F2CD90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1"/>
  </w:num>
  <w:num w:numId="5">
    <w:abstractNumId w:val="11"/>
  </w:num>
  <w:num w:numId="6">
    <w:abstractNumId w:val="4"/>
  </w:num>
  <w:num w:numId="7">
    <w:abstractNumId w:val="11"/>
  </w:num>
  <w:num w:numId="8">
    <w:abstractNumId w:val="11"/>
  </w:num>
  <w:num w:numId="9">
    <w:abstractNumId w:val="10"/>
  </w:num>
  <w:num w:numId="10">
    <w:abstractNumId w:val="9"/>
  </w:num>
  <w:num w:numId="11">
    <w:abstractNumId w:val="0"/>
  </w:num>
  <w:num w:numId="12">
    <w:abstractNumId w:val="1"/>
  </w:num>
  <w:num w:numId="13">
    <w:abstractNumId w:val="7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2"/>
  </w:num>
  <w:num w:numId="24">
    <w:abstractNumId w:val="16"/>
  </w:num>
  <w:num w:numId="25">
    <w:abstractNumId w:val="22"/>
  </w:num>
  <w:num w:numId="26">
    <w:abstractNumId w:val="5"/>
  </w:num>
  <w:num w:numId="27">
    <w:abstractNumId w:val="6"/>
  </w:num>
  <w:num w:numId="28">
    <w:abstractNumId w:val="21"/>
  </w:num>
  <w:num w:numId="29">
    <w:abstractNumId w:val="13"/>
  </w:num>
  <w:num w:numId="30">
    <w:abstractNumId w:val="8"/>
  </w:num>
  <w:num w:numId="31">
    <w:abstractNumId w:val="15"/>
  </w:num>
  <w:num w:numId="32">
    <w:abstractNumId w:val="19"/>
  </w:num>
  <w:num w:numId="33">
    <w:abstractNumId w:val="20"/>
  </w:num>
  <w:num w:numId="34">
    <w:abstractNumId w:val="18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A3"/>
    <w:rsid w:val="00050942"/>
    <w:rsid w:val="0009128E"/>
    <w:rsid w:val="000B2B01"/>
    <w:rsid w:val="000C2457"/>
    <w:rsid w:val="000E6DCF"/>
    <w:rsid w:val="00106E6C"/>
    <w:rsid w:val="00124073"/>
    <w:rsid w:val="00126FF1"/>
    <w:rsid w:val="00151D7F"/>
    <w:rsid w:val="00172D28"/>
    <w:rsid w:val="00190006"/>
    <w:rsid w:val="001923B0"/>
    <w:rsid w:val="001A060C"/>
    <w:rsid w:val="001D278B"/>
    <w:rsid w:val="001D38CD"/>
    <w:rsid w:val="00231D54"/>
    <w:rsid w:val="00233A15"/>
    <w:rsid w:val="002567AD"/>
    <w:rsid w:val="00266F93"/>
    <w:rsid w:val="00272DAA"/>
    <w:rsid w:val="00273512"/>
    <w:rsid w:val="002974CE"/>
    <w:rsid w:val="002F03BC"/>
    <w:rsid w:val="002F48E3"/>
    <w:rsid w:val="002F594A"/>
    <w:rsid w:val="002F77C0"/>
    <w:rsid w:val="00324644"/>
    <w:rsid w:val="00326C59"/>
    <w:rsid w:val="0034174E"/>
    <w:rsid w:val="00357006"/>
    <w:rsid w:val="00363882"/>
    <w:rsid w:val="00377EC1"/>
    <w:rsid w:val="00387A71"/>
    <w:rsid w:val="00391275"/>
    <w:rsid w:val="00391745"/>
    <w:rsid w:val="003A0876"/>
    <w:rsid w:val="003E2793"/>
    <w:rsid w:val="00403E81"/>
    <w:rsid w:val="004268E8"/>
    <w:rsid w:val="00447F47"/>
    <w:rsid w:val="004564C9"/>
    <w:rsid w:val="00461949"/>
    <w:rsid w:val="0048531E"/>
    <w:rsid w:val="004A723C"/>
    <w:rsid w:val="004B294D"/>
    <w:rsid w:val="004C00F8"/>
    <w:rsid w:val="004C6429"/>
    <w:rsid w:val="004D1FF7"/>
    <w:rsid w:val="004E05E2"/>
    <w:rsid w:val="004E1B8F"/>
    <w:rsid w:val="004E5295"/>
    <w:rsid w:val="004F0DBF"/>
    <w:rsid w:val="00501844"/>
    <w:rsid w:val="00505334"/>
    <w:rsid w:val="00507DA3"/>
    <w:rsid w:val="005134AE"/>
    <w:rsid w:val="00514E46"/>
    <w:rsid w:val="00533794"/>
    <w:rsid w:val="005339CF"/>
    <w:rsid w:val="00550D1C"/>
    <w:rsid w:val="00560590"/>
    <w:rsid w:val="00561852"/>
    <w:rsid w:val="005669E4"/>
    <w:rsid w:val="005766AC"/>
    <w:rsid w:val="0059021D"/>
    <w:rsid w:val="005A3060"/>
    <w:rsid w:val="005A455B"/>
    <w:rsid w:val="005C4454"/>
    <w:rsid w:val="005E29C8"/>
    <w:rsid w:val="005F3527"/>
    <w:rsid w:val="005F5419"/>
    <w:rsid w:val="005F56E6"/>
    <w:rsid w:val="00611B83"/>
    <w:rsid w:val="006140ED"/>
    <w:rsid w:val="006240FE"/>
    <w:rsid w:val="0064119A"/>
    <w:rsid w:val="00643813"/>
    <w:rsid w:val="00653134"/>
    <w:rsid w:val="006640F3"/>
    <w:rsid w:val="00681B92"/>
    <w:rsid w:val="00693827"/>
    <w:rsid w:val="00696517"/>
    <w:rsid w:val="006B1FB0"/>
    <w:rsid w:val="006F0ECC"/>
    <w:rsid w:val="006F45FC"/>
    <w:rsid w:val="007163EC"/>
    <w:rsid w:val="00730B6D"/>
    <w:rsid w:val="00731014"/>
    <w:rsid w:val="00735A74"/>
    <w:rsid w:val="007434A0"/>
    <w:rsid w:val="00796F77"/>
    <w:rsid w:val="007A00E3"/>
    <w:rsid w:val="007A368E"/>
    <w:rsid w:val="007B3B32"/>
    <w:rsid w:val="007B5862"/>
    <w:rsid w:val="007E324C"/>
    <w:rsid w:val="007F0AC5"/>
    <w:rsid w:val="0081042F"/>
    <w:rsid w:val="00810BCB"/>
    <w:rsid w:val="00827BD4"/>
    <w:rsid w:val="0087148A"/>
    <w:rsid w:val="00880236"/>
    <w:rsid w:val="00885AF2"/>
    <w:rsid w:val="00892487"/>
    <w:rsid w:val="008969F3"/>
    <w:rsid w:val="008C204F"/>
    <w:rsid w:val="008D4493"/>
    <w:rsid w:val="009073AC"/>
    <w:rsid w:val="00920B46"/>
    <w:rsid w:val="00921AD0"/>
    <w:rsid w:val="009235FB"/>
    <w:rsid w:val="00924E68"/>
    <w:rsid w:val="00943DB3"/>
    <w:rsid w:val="00955920"/>
    <w:rsid w:val="00984878"/>
    <w:rsid w:val="009851DF"/>
    <w:rsid w:val="0099059C"/>
    <w:rsid w:val="009A58D2"/>
    <w:rsid w:val="009E3679"/>
    <w:rsid w:val="009E37E1"/>
    <w:rsid w:val="009F5F29"/>
    <w:rsid w:val="00A00A7A"/>
    <w:rsid w:val="00A178B8"/>
    <w:rsid w:val="00A75226"/>
    <w:rsid w:val="00A762E3"/>
    <w:rsid w:val="00A767E0"/>
    <w:rsid w:val="00A83D18"/>
    <w:rsid w:val="00A87C35"/>
    <w:rsid w:val="00A9092E"/>
    <w:rsid w:val="00A97238"/>
    <w:rsid w:val="00AB2665"/>
    <w:rsid w:val="00AD3BF5"/>
    <w:rsid w:val="00AE6897"/>
    <w:rsid w:val="00B16231"/>
    <w:rsid w:val="00B321BF"/>
    <w:rsid w:val="00B328FF"/>
    <w:rsid w:val="00B508A7"/>
    <w:rsid w:val="00B643FD"/>
    <w:rsid w:val="00B67952"/>
    <w:rsid w:val="00B7706B"/>
    <w:rsid w:val="00B91DCC"/>
    <w:rsid w:val="00BA166D"/>
    <w:rsid w:val="00BA33A0"/>
    <w:rsid w:val="00BA3DEA"/>
    <w:rsid w:val="00BB1840"/>
    <w:rsid w:val="00BB774E"/>
    <w:rsid w:val="00BD3780"/>
    <w:rsid w:val="00C0681C"/>
    <w:rsid w:val="00C16238"/>
    <w:rsid w:val="00C303B5"/>
    <w:rsid w:val="00C446DB"/>
    <w:rsid w:val="00C559A4"/>
    <w:rsid w:val="00C61156"/>
    <w:rsid w:val="00C71154"/>
    <w:rsid w:val="00C76FAB"/>
    <w:rsid w:val="00CB535C"/>
    <w:rsid w:val="00CD5339"/>
    <w:rsid w:val="00CE2C0A"/>
    <w:rsid w:val="00CF4150"/>
    <w:rsid w:val="00CF6ADB"/>
    <w:rsid w:val="00D55EE3"/>
    <w:rsid w:val="00D913B0"/>
    <w:rsid w:val="00DA1995"/>
    <w:rsid w:val="00DA3674"/>
    <w:rsid w:val="00DB0F57"/>
    <w:rsid w:val="00DD2889"/>
    <w:rsid w:val="00DF581E"/>
    <w:rsid w:val="00DF74F2"/>
    <w:rsid w:val="00E031B8"/>
    <w:rsid w:val="00E16199"/>
    <w:rsid w:val="00E20C91"/>
    <w:rsid w:val="00E20D8A"/>
    <w:rsid w:val="00E301CA"/>
    <w:rsid w:val="00E3113E"/>
    <w:rsid w:val="00E47C81"/>
    <w:rsid w:val="00E51110"/>
    <w:rsid w:val="00E51A9D"/>
    <w:rsid w:val="00E73B49"/>
    <w:rsid w:val="00E76B63"/>
    <w:rsid w:val="00E77323"/>
    <w:rsid w:val="00E84028"/>
    <w:rsid w:val="00EB5910"/>
    <w:rsid w:val="00EC79E5"/>
    <w:rsid w:val="00ED09B3"/>
    <w:rsid w:val="00F0419B"/>
    <w:rsid w:val="00F301C4"/>
    <w:rsid w:val="00F361A5"/>
    <w:rsid w:val="00F36A56"/>
    <w:rsid w:val="00F40997"/>
    <w:rsid w:val="00F63F5F"/>
    <w:rsid w:val="00F7645B"/>
    <w:rsid w:val="00F77A43"/>
    <w:rsid w:val="00FA7867"/>
    <w:rsid w:val="00FB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8099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9C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D278B"/>
    <w:pPr>
      <w:keepNext/>
      <w:spacing w:before="240" w:after="240"/>
      <w:ind w:left="567" w:hanging="567"/>
      <w:jc w:val="center"/>
      <w:outlineLvl w:val="0"/>
    </w:pPr>
    <w:rPr>
      <w:rFonts w:eastAsia="Times New Roman" w:cs="Arial"/>
      <w:b/>
      <w:bCs/>
      <w:w w:val="95"/>
      <w:kern w:val="32"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2F48E3"/>
    <w:pPr>
      <w:keepNext/>
      <w:numPr>
        <w:ilvl w:val="1"/>
        <w:numId w:val="8"/>
      </w:numPr>
      <w:spacing w:before="240" w:after="120"/>
      <w:outlineLvl w:val="1"/>
    </w:pPr>
    <w:rPr>
      <w:rFonts w:eastAsia="Times New Roman" w:cs="Arial"/>
      <w:b/>
      <w:bCs/>
      <w:iCs/>
      <w:szCs w:val="28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2F48E3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="Times New Roman"/>
      <w:b/>
      <w:bCs/>
    </w:rPr>
  </w:style>
  <w:style w:type="paragraph" w:styleId="Heading4">
    <w:name w:val="heading 4"/>
    <w:basedOn w:val="ListParagraph"/>
    <w:next w:val="Normal"/>
    <w:link w:val="Heading4Char1"/>
    <w:unhideWhenUsed/>
    <w:qFormat/>
    <w:rsid w:val="004A723C"/>
    <w:pPr>
      <w:keepNext/>
      <w:keepLines/>
      <w:spacing w:after="120" w:line="264" w:lineRule="auto"/>
      <w:ind w:left="0" w:firstLine="0"/>
      <w:contextualSpacing w:val="0"/>
      <w:jc w:val="center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F48E3"/>
    <w:pPr>
      <w:numPr>
        <w:ilvl w:val="4"/>
        <w:numId w:val="8"/>
      </w:numPr>
      <w:spacing w:before="240" w:after="60"/>
      <w:outlineLvl w:val="4"/>
    </w:pPr>
    <w:rPr>
      <w:rFonts w:eastAsia="Times New Roman" w:cs="Times New Roman"/>
      <w:bCs/>
      <w:i/>
      <w:iCs/>
      <w:sz w:val="26"/>
      <w:szCs w:val="26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F48E3"/>
    <w:pPr>
      <w:numPr>
        <w:ilvl w:val="8"/>
        <w:numId w:val="1"/>
      </w:numPr>
      <w:tabs>
        <w:tab w:val="num" w:pos="1697"/>
      </w:tabs>
      <w:spacing w:before="240" w:after="60"/>
      <w:ind w:left="1697" w:hanging="1584"/>
      <w:outlineLvl w:val="8"/>
    </w:pPr>
    <w:rPr>
      <w:rFonts w:ascii="Arial" w:eastAsia="Times New Roman" w:hAnsi="Arial" w:cs="Arial"/>
      <w:b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kpunkti">
    <w:name w:val="Apakšpunkti"/>
    <w:basedOn w:val="ListParagraph"/>
    <w:link w:val="ApakpunktiChar"/>
    <w:qFormat/>
    <w:rsid w:val="002F48E3"/>
    <w:pPr>
      <w:ind w:left="1069" w:hanging="360"/>
    </w:pPr>
    <w:rPr>
      <w:rFonts w:eastAsia="Times New Roman"/>
      <w:bCs/>
      <w:kern w:val="32"/>
      <w:lang w:eastAsia="lv-LV"/>
    </w:rPr>
  </w:style>
  <w:style w:type="character" w:customStyle="1" w:styleId="ApakpunktiChar">
    <w:name w:val="Apakšpunkti Char"/>
    <w:basedOn w:val="ListParagraphChar"/>
    <w:link w:val="Apakpunkti"/>
    <w:rsid w:val="002F48E3"/>
    <w:rPr>
      <w:rFonts w:ascii="Times New Roman" w:eastAsia="Times New Roman" w:hAnsi="Times New Roman" w:cs="Times New Roman"/>
      <w:bCs/>
      <w:kern w:val="32"/>
      <w:sz w:val="24"/>
      <w:szCs w:val="24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731014"/>
    <w:pPr>
      <w:numPr>
        <w:numId w:val="34"/>
      </w:numPr>
      <w:ind w:left="426" w:hanging="426"/>
      <w:contextualSpacing/>
    </w:pPr>
    <w:rPr>
      <w:rFonts w:eastAsia="Calibri" w:cs="Times New Roman"/>
      <w:szCs w:val="24"/>
    </w:rPr>
  </w:style>
  <w:style w:type="paragraph" w:customStyle="1" w:styleId="Tabulasvirsraksts">
    <w:name w:val="Tabulas virsraksts"/>
    <w:basedOn w:val="NormalWeb"/>
    <w:link w:val="TabulasvirsrakstsChar"/>
    <w:qFormat/>
    <w:rsid w:val="002F48E3"/>
    <w:pPr>
      <w:spacing w:after="120"/>
      <w:jc w:val="center"/>
    </w:pPr>
    <w:rPr>
      <w:rFonts w:eastAsia="Times New Roman"/>
      <w:i/>
      <w:lang w:eastAsia="lv-LV"/>
    </w:rPr>
  </w:style>
  <w:style w:type="character" w:customStyle="1" w:styleId="TabulasvirsrakstsChar">
    <w:name w:val="Tabulas virsraksts Char"/>
    <w:basedOn w:val="DefaultParagraphFont"/>
    <w:link w:val="Tabulasvirsraksts"/>
    <w:rsid w:val="002F48E3"/>
    <w:rPr>
      <w:rFonts w:ascii="Times New Roman" w:eastAsia="Times New Roman" w:hAnsi="Times New Roman" w:cs="Times New Roman"/>
      <w:i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2F48E3"/>
    <w:rPr>
      <w:rFonts w:cs="Times New Roman"/>
      <w:szCs w:val="24"/>
    </w:rPr>
  </w:style>
  <w:style w:type="paragraph" w:customStyle="1" w:styleId="ApakApakpunkti">
    <w:name w:val="ApakšApakšpunkti"/>
    <w:basedOn w:val="Normal"/>
    <w:next w:val="Apakpunkti"/>
    <w:link w:val="ApakApakpunktiChar"/>
    <w:qFormat/>
    <w:rsid w:val="007A00E3"/>
    <w:pPr>
      <w:numPr>
        <w:numId w:val="35"/>
      </w:numPr>
      <w:ind w:left="426" w:hanging="426"/>
    </w:pPr>
    <w:rPr>
      <w:rFonts w:cs="Times New Roman"/>
      <w:szCs w:val="24"/>
    </w:rPr>
  </w:style>
  <w:style w:type="character" w:customStyle="1" w:styleId="ApakApakpunktiChar">
    <w:name w:val="ApakšApakšpunkti Char"/>
    <w:basedOn w:val="ListParagraphChar"/>
    <w:link w:val="ApakApakpunkti"/>
    <w:rsid w:val="007A00E3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D278B"/>
    <w:rPr>
      <w:rFonts w:eastAsia="Times New Roman" w:cs="Arial"/>
      <w:b/>
      <w:bCs/>
      <w:w w:val="95"/>
      <w:kern w:val="32"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2F48E3"/>
    <w:rPr>
      <w:rFonts w:eastAsia="Times New Roman" w:cs="Arial"/>
      <w:b/>
      <w:bCs/>
      <w:iCs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rsid w:val="002F48E3"/>
    <w:rPr>
      <w:rFonts w:eastAsiaTheme="majorEastAsia" w:cs="Times New Roman"/>
      <w:b/>
      <w:bCs/>
    </w:rPr>
  </w:style>
  <w:style w:type="character" w:customStyle="1" w:styleId="Heading4Char">
    <w:name w:val="Heading 4 Char"/>
    <w:basedOn w:val="DefaultParagraphFont"/>
    <w:uiPriority w:val="9"/>
    <w:semiHidden/>
    <w:rsid w:val="002F48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4Char1">
    <w:name w:val="Heading 4 Char1"/>
    <w:basedOn w:val="DefaultParagraphFont"/>
    <w:link w:val="Heading4"/>
    <w:rsid w:val="004A723C"/>
    <w:rPr>
      <w:rFonts w:eastAsiaTheme="majorEastAsia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F48E3"/>
    <w:rPr>
      <w:rFonts w:eastAsia="Times New Roman" w:cs="Times New Roman"/>
      <w:bCs/>
      <w:i/>
      <w:iCs/>
      <w:sz w:val="26"/>
      <w:szCs w:val="26"/>
      <w:lang w:eastAsia="lv-LV"/>
    </w:rPr>
  </w:style>
  <w:style w:type="character" w:customStyle="1" w:styleId="Heading9Char">
    <w:name w:val="Heading 9 Char"/>
    <w:basedOn w:val="DefaultParagraphFont"/>
    <w:link w:val="Heading9"/>
    <w:semiHidden/>
    <w:rsid w:val="002F48E3"/>
    <w:rPr>
      <w:rFonts w:ascii="Arial" w:eastAsia="Times New Roman" w:hAnsi="Arial" w:cs="Arial"/>
      <w:b/>
      <w:sz w:val="24"/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F48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F48E3"/>
    <w:pPr>
      <w:tabs>
        <w:tab w:val="left" w:pos="851"/>
        <w:tab w:val="right" w:leader="dot" w:pos="9061"/>
      </w:tabs>
      <w:spacing w:after="100" w:line="276" w:lineRule="auto"/>
      <w:ind w:left="284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F48E3"/>
    <w:pPr>
      <w:spacing w:after="100" w:line="276" w:lineRule="auto"/>
      <w:ind w:left="440"/>
    </w:pPr>
    <w:rPr>
      <w:rFonts w:asciiTheme="minorHAnsi" w:hAnsiTheme="minorHAnsi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2F48E3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8E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8E3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character" w:styleId="Strong">
    <w:name w:val="Strong"/>
    <w:basedOn w:val="DefaultParagraphFont"/>
    <w:uiPriority w:val="22"/>
    <w:qFormat/>
    <w:rsid w:val="002F48E3"/>
    <w:rPr>
      <w:b/>
      <w:bCs/>
    </w:rPr>
  </w:style>
  <w:style w:type="character" w:styleId="Emphasis">
    <w:name w:val="Emphasis"/>
    <w:basedOn w:val="DefaultParagraphFont"/>
    <w:qFormat/>
    <w:rsid w:val="002F48E3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1014"/>
    <w:rPr>
      <w:rFonts w:eastAsia="Calibri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48E3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paragraph" w:styleId="BodyText">
    <w:name w:val="Body Text"/>
    <w:basedOn w:val="Normal"/>
    <w:link w:val="BodyTextChar"/>
    <w:uiPriority w:val="1"/>
    <w:qFormat/>
    <w:rsid w:val="00507DA3"/>
    <w:pPr>
      <w:widowControl w:val="0"/>
      <w:autoSpaceDE w:val="0"/>
      <w:autoSpaceDN w:val="0"/>
    </w:pPr>
    <w:rPr>
      <w:rFonts w:ascii="Cambria" w:eastAsia="Cambria" w:hAnsi="Cambria" w:cs="Cambria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DA3"/>
    <w:rPr>
      <w:rFonts w:ascii="Cambria" w:eastAsia="Cambria" w:hAnsi="Cambria" w:cs="Cambria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507DA3"/>
    <w:pPr>
      <w:widowControl w:val="0"/>
      <w:autoSpaceDE w:val="0"/>
      <w:autoSpaceDN w:val="0"/>
    </w:pPr>
    <w:rPr>
      <w:rFonts w:eastAsia="Times New Roman" w:cs="Times New Roman"/>
      <w:sz w:val="22"/>
      <w:lang w:val="en-US"/>
    </w:rPr>
  </w:style>
  <w:style w:type="table" w:styleId="TableGrid">
    <w:name w:val="Table Grid"/>
    <w:basedOn w:val="TableNormal"/>
    <w:uiPriority w:val="59"/>
    <w:rsid w:val="00507DA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7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DA3"/>
    <w:pPr>
      <w:widowControl w:val="0"/>
      <w:autoSpaceDE w:val="0"/>
      <w:autoSpaceDN w:val="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DA3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A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40"/>
    <w:pPr>
      <w:widowControl/>
      <w:autoSpaceDE/>
      <w:autoSpaceDN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40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60590"/>
    <w:rPr>
      <w:strike w:val="0"/>
      <w:dstrike w:val="0"/>
      <w:color w:val="DA001E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/>
    <w:lsdException w:name="heading 8" w:uiPriority="9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59C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1D278B"/>
    <w:pPr>
      <w:keepNext/>
      <w:spacing w:before="240" w:after="240"/>
      <w:ind w:left="567" w:hanging="567"/>
      <w:jc w:val="center"/>
      <w:outlineLvl w:val="0"/>
    </w:pPr>
    <w:rPr>
      <w:rFonts w:eastAsia="Times New Roman" w:cs="Arial"/>
      <w:b/>
      <w:bCs/>
      <w:w w:val="95"/>
      <w:kern w:val="32"/>
      <w:sz w:val="28"/>
      <w:szCs w:val="32"/>
      <w:lang w:eastAsia="lv-LV"/>
    </w:rPr>
  </w:style>
  <w:style w:type="paragraph" w:styleId="Heading2">
    <w:name w:val="heading 2"/>
    <w:basedOn w:val="Normal"/>
    <w:next w:val="Normal"/>
    <w:link w:val="Heading2Char"/>
    <w:unhideWhenUsed/>
    <w:qFormat/>
    <w:rsid w:val="002F48E3"/>
    <w:pPr>
      <w:keepNext/>
      <w:numPr>
        <w:ilvl w:val="1"/>
        <w:numId w:val="8"/>
      </w:numPr>
      <w:spacing w:before="240" w:after="120"/>
      <w:outlineLvl w:val="1"/>
    </w:pPr>
    <w:rPr>
      <w:rFonts w:eastAsia="Times New Roman" w:cs="Arial"/>
      <w:b/>
      <w:bCs/>
      <w:iCs/>
      <w:szCs w:val="28"/>
      <w:lang w:eastAsia="lv-LV"/>
    </w:rPr>
  </w:style>
  <w:style w:type="paragraph" w:styleId="Heading3">
    <w:name w:val="heading 3"/>
    <w:basedOn w:val="Normal"/>
    <w:next w:val="Normal"/>
    <w:link w:val="Heading3Char"/>
    <w:unhideWhenUsed/>
    <w:qFormat/>
    <w:rsid w:val="002F48E3"/>
    <w:pPr>
      <w:keepNext/>
      <w:keepLines/>
      <w:numPr>
        <w:ilvl w:val="2"/>
        <w:numId w:val="8"/>
      </w:numPr>
      <w:spacing w:before="200"/>
      <w:outlineLvl w:val="2"/>
    </w:pPr>
    <w:rPr>
      <w:rFonts w:eastAsiaTheme="majorEastAsia" w:cs="Times New Roman"/>
      <w:b/>
      <w:bCs/>
    </w:rPr>
  </w:style>
  <w:style w:type="paragraph" w:styleId="Heading4">
    <w:name w:val="heading 4"/>
    <w:basedOn w:val="ListParagraph"/>
    <w:next w:val="Normal"/>
    <w:link w:val="Heading4Char1"/>
    <w:unhideWhenUsed/>
    <w:qFormat/>
    <w:rsid w:val="004A723C"/>
    <w:pPr>
      <w:keepNext/>
      <w:keepLines/>
      <w:spacing w:after="120" w:line="264" w:lineRule="auto"/>
      <w:ind w:left="0" w:firstLine="0"/>
      <w:contextualSpacing w:val="0"/>
      <w:jc w:val="center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F48E3"/>
    <w:pPr>
      <w:numPr>
        <w:ilvl w:val="4"/>
        <w:numId w:val="8"/>
      </w:numPr>
      <w:spacing w:before="240" w:after="60"/>
      <w:outlineLvl w:val="4"/>
    </w:pPr>
    <w:rPr>
      <w:rFonts w:eastAsia="Times New Roman" w:cs="Times New Roman"/>
      <w:bCs/>
      <w:i/>
      <w:iCs/>
      <w:sz w:val="26"/>
      <w:szCs w:val="26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F48E3"/>
    <w:pPr>
      <w:numPr>
        <w:ilvl w:val="8"/>
        <w:numId w:val="1"/>
      </w:numPr>
      <w:tabs>
        <w:tab w:val="num" w:pos="1697"/>
      </w:tabs>
      <w:spacing w:before="240" w:after="60"/>
      <w:ind w:left="1697" w:hanging="1584"/>
      <w:outlineLvl w:val="8"/>
    </w:pPr>
    <w:rPr>
      <w:rFonts w:ascii="Arial" w:eastAsia="Times New Roman" w:hAnsi="Arial" w:cs="Arial"/>
      <w:b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kpunkti">
    <w:name w:val="Apakšpunkti"/>
    <w:basedOn w:val="ListParagraph"/>
    <w:link w:val="ApakpunktiChar"/>
    <w:qFormat/>
    <w:rsid w:val="002F48E3"/>
    <w:pPr>
      <w:ind w:left="1069" w:hanging="360"/>
    </w:pPr>
    <w:rPr>
      <w:rFonts w:eastAsia="Times New Roman"/>
      <w:bCs/>
      <w:kern w:val="32"/>
      <w:lang w:eastAsia="lv-LV"/>
    </w:rPr>
  </w:style>
  <w:style w:type="character" w:customStyle="1" w:styleId="ApakpunktiChar">
    <w:name w:val="Apakšpunkti Char"/>
    <w:basedOn w:val="ListParagraphChar"/>
    <w:link w:val="Apakpunkti"/>
    <w:rsid w:val="002F48E3"/>
    <w:rPr>
      <w:rFonts w:ascii="Times New Roman" w:eastAsia="Times New Roman" w:hAnsi="Times New Roman" w:cs="Times New Roman"/>
      <w:bCs/>
      <w:kern w:val="32"/>
      <w:sz w:val="24"/>
      <w:szCs w:val="24"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731014"/>
    <w:pPr>
      <w:numPr>
        <w:numId w:val="34"/>
      </w:numPr>
      <w:ind w:left="426" w:hanging="426"/>
      <w:contextualSpacing/>
    </w:pPr>
    <w:rPr>
      <w:rFonts w:eastAsia="Calibri" w:cs="Times New Roman"/>
      <w:szCs w:val="24"/>
    </w:rPr>
  </w:style>
  <w:style w:type="paragraph" w:customStyle="1" w:styleId="Tabulasvirsraksts">
    <w:name w:val="Tabulas virsraksts"/>
    <w:basedOn w:val="NormalWeb"/>
    <w:link w:val="TabulasvirsrakstsChar"/>
    <w:qFormat/>
    <w:rsid w:val="002F48E3"/>
    <w:pPr>
      <w:spacing w:after="120"/>
      <w:jc w:val="center"/>
    </w:pPr>
    <w:rPr>
      <w:rFonts w:eastAsia="Times New Roman"/>
      <w:i/>
      <w:lang w:eastAsia="lv-LV"/>
    </w:rPr>
  </w:style>
  <w:style w:type="character" w:customStyle="1" w:styleId="TabulasvirsrakstsChar">
    <w:name w:val="Tabulas virsraksts Char"/>
    <w:basedOn w:val="DefaultParagraphFont"/>
    <w:link w:val="Tabulasvirsraksts"/>
    <w:rsid w:val="002F48E3"/>
    <w:rPr>
      <w:rFonts w:ascii="Times New Roman" w:eastAsia="Times New Roman" w:hAnsi="Times New Roman" w:cs="Times New Roman"/>
      <w:i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2F48E3"/>
    <w:rPr>
      <w:rFonts w:cs="Times New Roman"/>
      <w:szCs w:val="24"/>
    </w:rPr>
  </w:style>
  <w:style w:type="paragraph" w:customStyle="1" w:styleId="ApakApakpunkti">
    <w:name w:val="ApakšApakšpunkti"/>
    <w:basedOn w:val="Normal"/>
    <w:next w:val="Apakpunkti"/>
    <w:link w:val="ApakApakpunktiChar"/>
    <w:qFormat/>
    <w:rsid w:val="007A00E3"/>
    <w:pPr>
      <w:numPr>
        <w:numId w:val="35"/>
      </w:numPr>
      <w:ind w:left="426" w:hanging="426"/>
    </w:pPr>
    <w:rPr>
      <w:rFonts w:cs="Times New Roman"/>
      <w:szCs w:val="24"/>
    </w:rPr>
  </w:style>
  <w:style w:type="character" w:customStyle="1" w:styleId="ApakApakpunktiChar">
    <w:name w:val="ApakšApakšpunkti Char"/>
    <w:basedOn w:val="ListParagraphChar"/>
    <w:link w:val="ApakApakpunkti"/>
    <w:rsid w:val="007A00E3"/>
    <w:rPr>
      <w:rFonts w:eastAsia="Calibri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D278B"/>
    <w:rPr>
      <w:rFonts w:eastAsia="Times New Roman" w:cs="Arial"/>
      <w:b/>
      <w:bCs/>
      <w:w w:val="95"/>
      <w:kern w:val="32"/>
      <w:sz w:val="28"/>
      <w:szCs w:val="32"/>
      <w:lang w:eastAsia="lv-LV"/>
    </w:rPr>
  </w:style>
  <w:style w:type="character" w:customStyle="1" w:styleId="Heading2Char">
    <w:name w:val="Heading 2 Char"/>
    <w:basedOn w:val="DefaultParagraphFont"/>
    <w:link w:val="Heading2"/>
    <w:rsid w:val="002F48E3"/>
    <w:rPr>
      <w:rFonts w:eastAsia="Times New Roman" w:cs="Arial"/>
      <w:b/>
      <w:bCs/>
      <w:iCs/>
      <w:szCs w:val="28"/>
      <w:lang w:eastAsia="lv-LV"/>
    </w:rPr>
  </w:style>
  <w:style w:type="character" w:customStyle="1" w:styleId="Heading3Char">
    <w:name w:val="Heading 3 Char"/>
    <w:basedOn w:val="DefaultParagraphFont"/>
    <w:link w:val="Heading3"/>
    <w:rsid w:val="002F48E3"/>
    <w:rPr>
      <w:rFonts w:eastAsiaTheme="majorEastAsia" w:cs="Times New Roman"/>
      <w:b/>
      <w:bCs/>
    </w:rPr>
  </w:style>
  <w:style w:type="character" w:customStyle="1" w:styleId="Heading4Char">
    <w:name w:val="Heading 4 Char"/>
    <w:basedOn w:val="DefaultParagraphFont"/>
    <w:uiPriority w:val="9"/>
    <w:semiHidden/>
    <w:rsid w:val="002F48E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Heading4Char1">
    <w:name w:val="Heading 4 Char1"/>
    <w:basedOn w:val="DefaultParagraphFont"/>
    <w:link w:val="Heading4"/>
    <w:rsid w:val="004A723C"/>
    <w:rPr>
      <w:rFonts w:eastAsiaTheme="majorEastAsia" w:cs="Times New Roman"/>
      <w:b/>
      <w:bCs/>
      <w:szCs w:val="24"/>
    </w:rPr>
  </w:style>
  <w:style w:type="character" w:customStyle="1" w:styleId="Heading5Char">
    <w:name w:val="Heading 5 Char"/>
    <w:basedOn w:val="DefaultParagraphFont"/>
    <w:link w:val="Heading5"/>
    <w:rsid w:val="002F48E3"/>
    <w:rPr>
      <w:rFonts w:eastAsia="Times New Roman" w:cs="Times New Roman"/>
      <w:bCs/>
      <w:i/>
      <w:iCs/>
      <w:sz w:val="26"/>
      <w:szCs w:val="26"/>
      <w:lang w:eastAsia="lv-LV"/>
    </w:rPr>
  </w:style>
  <w:style w:type="character" w:customStyle="1" w:styleId="Heading9Char">
    <w:name w:val="Heading 9 Char"/>
    <w:basedOn w:val="DefaultParagraphFont"/>
    <w:link w:val="Heading9"/>
    <w:semiHidden/>
    <w:rsid w:val="002F48E3"/>
    <w:rPr>
      <w:rFonts w:ascii="Arial" w:eastAsia="Times New Roman" w:hAnsi="Arial" w:cs="Arial"/>
      <w:b/>
      <w:sz w:val="24"/>
      <w:lang w:eastAsia="lv-LV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F48E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F48E3"/>
    <w:pPr>
      <w:tabs>
        <w:tab w:val="left" w:pos="851"/>
        <w:tab w:val="right" w:leader="dot" w:pos="9061"/>
      </w:tabs>
      <w:spacing w:after="100" w:line="276" w:lineRule="auto"/>
      <w:ind w:left="284"/>
    </w:pPr>
    <w:rPr>
      <w:rFonts w:asciiTheme="minorHAnsi" w:hAnsiTheme="minorHAnsi"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F48E3"/>
    <w:pPr>
      <w:spacing w:after="100" w:line="276" w:lineRule="auto"/>
      <w:ind w:left="440"/>
    </w:pPr>
    <w:rPr>
      <w:rFonts w:asciiTheme="minorHAnsi" w:hAnsiTheme="minorHAnsi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2F48E3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F48E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F48E3"/>
    <w:rPr>
      <w:rFonts w:ascii="Times New Roman" w:eastAsiaTheme="majorEastAsia" w:hAnsi="Times New Roman" w:cstheme="majorBidi"/>
      <w:b/>
      <w:spacing w:val="5"/>
      <w:kern w:val="28"/>
      <w:sz w:val="40"/>
      <w:szCs w:val="52"/>
    </w:rPr>
  </w:style>
  <w:style w:type="character" w:styleId="Strong">
    <w:name w:val="Strong"/>
    <w:basedOn w:val="DefaultParagraphFont"/>
    <w:uiPriority w:val="22"/>
    <w:qFormat/>
    <w:rsid w:val="002F48E3"/>
    <w:rPr>
      <w:b/>
      <w:bCs/>
    </w:rPr>
  </w:style>
  <w:style w:type="character" w:styleId="Emphasis">
    <w:name w:val="Emphasis"/>
    <w:basedOn w:val="DefaultParagraphFont"/>
    <w:qFormat/>
    <w:rsid w:val="002F48E3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1014"/>
    <w:rPr>
      <w:rFonts w:eastAsia="Calibri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F48E3"/>
    <w:pPr>
      <w:keepLines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paragraph" w:styleId="BodyText">
    <w:name w:val="Body Text"/>
    <w:basedOn w:val="Normal"/>
    <w:link w:val="BodyTextChar"/>
    <w:uiPriority w:val="1"/>
    <w:qFormat/>
    <w:rsid w:val="00507DA3"/>
    <w:pPr>
      <w:widowControl w:val="0"/>
      <w:autoSpaceDE w:val="0"/>
      <w:autoSpaceDN w:val="0"/>
    </w:pPr>
    <w:rPr>
      <w:rFonts w:ascii="Cambria" w:eastAsia="Cambria" w:hAnsi="Cambria" w:cs="Cambria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07DA3"/>
    <w:rPr>
      <w:rFonts w:ascii="Cambria" w:eastAsia="Cambria" w:hAnsi="Cambria" w:cs="Cambria"/>
      <w:sz w:val="19"/>
      <w:szCs w:val="19"/>
      <w:lang w:val="en-US"/>
    </w:rPr>
  </w:style>
  <w:style w:type="paragraph" w:customStyle="1" w:styleId="TableParagraph">
    <w:name w:val="Table Paragraph"/>
    <w:basedOn w:val="Normal"/>
    <w:uiPriority w:val="1"/>
    <w:qFormat/>
    <w:rsid w:val="00507DA3"/>
    <w:pPr>
      <w:widowControl w:val="0"/>
      <w:autoSpaceDE w:val="0"/>
      <w:autoSpaceDN w:val="0"/>
    </w:pPr>
    <w:rPr>
      <w:rFonts w:eastAsia="Times New Roman" w:cs="Times New Roman"/>
      <w:sz w:val="22"/>
      <w:lang w:val="en-US"/>
    </w:rPr>
  </w:style>
  <w:style w:type="table" w:styleId="TableGrid">
    <w:name w:val="Table Grid"/>
    <w:basedOn w:val="TableNormal"/>
    <w:uiPriority w:val="59"/>
    <w:rsid w:val="00507DA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7D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7DA3"/>
    <w:pPr>
      <w:widowControl w:val="0"/>
      <w:autoSpaceDE w:val="0"/>
      <w:autoSpaceDN w:val="0"/>
    </w:pPr>
    <w:rPr>
      <w:rFonts w:asciiTheme="minorHAnsi" w:hAnsiTheme="minorHAns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DA3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A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840"/>
    <w:pPr>
      <w:widowControl/>
      <w:autoSpaceDE/>
      <w:autoSpaceDN/>
    </w:pPr>
    <w:rPr>
      <w:rFonts w:ascii="Times New Roman" w:hAnsi="Times New Roman"/>
      <w:b/>
      <w:bCs/>
      <w:lang w:val="lv-LV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840"/>
    <w:rPr>
      <w:b/>
      <w:bCs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560590"/>
    <w:rPr>
      <w:strike w:val="0"/>
      <w:dstrike w:val="0"/>
      <w:color w:val="DA001E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4422-228C-472D-AA36-D670FAC24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7</Pages>
  <Words>9721</Words>
  <Characters>5541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Latvenergo</Company>
  <LinksUpToDate>false</LinksUpToDate>
  <CharactersWithSpaces>15232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Lazda</dc:creator>
  <cp:lastModifiedBy>Edgars Lazda</cp:lastModifiedBy>
  <cp:revision>13</cp:revision>
  <cp:lastPrinted>2018-07-20T05:25:00Z</cp:lastPrinted>
  <dcterms:created xsi:type="dcterms:W3CDTF">2018-07-18T11:25:00Z</dcterms:created>
  <dcterms:modified xsi:type="dcterms:W3CDTF">2018-07-26T18:39:00Z</dcterms:modified>
</cp:coreProperties>
</file>