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FC44F" w14:textId="237D2729" w:rsidR="0086544D" w:rsidRPr="000F1AB7" w:rsidRDefault="00E24F7E" w:rsidP="00B44EDD">
      <w:pPr>
        <w:jc w:val="both"/>
        <w:rPr>
          <w:rFonts w:cs="Times New Roman"/>
          <w:b/>
          <w:bCs/>
          <w:caps/>
          <w:szCs w:val="24"/>
          <w:lang w:val="lt-LT"/>
        </w:rPr>
      </w:pPr>
      <w:r>
        <w:rPr>
          <w:rFonts w:cs="Times New Roman"/>
          <w:b/>
          <w:bCs/>
          <w:caps/>
          <w:szCs w:val="24"/>
          <w:lang w:val="lt-LT"/>
        </w:rPr>
        <w:t>COMMENTS AND REMARKS</w:t>
      </w:r>
      <w:r w:rsidR="00EF2731">
        <w:rPr>
          <w:rFonts w:cs="Times New Roman"/>
          <w:b/>
          <w:bCs/>
          <w:caps/>
          <w:szCs w:val="24"/>
          <w:lang w:val="lt-LT"/>
        </w:rPr>
        <w:t xml:space="preserve"> FOR</w:t>
      </w:r>
      <w:r w:rsidR="003F6CB0">
        <w:rPr>
          <w:rFonts w:cs="Times New Roman"/>
          <w:b/>
          <w:bCs/>
          <w:caps/>
          <w:szCs w:val="24"/>
          <w:lang w:val="lt-LT"/>
        </w:rPr>
        <w:t xml:space="preserve"> THE BALTIC </w:t>
      </w:r>
      <w:r w:rsidR="00A87DB2">
        <w:rPr>
          <w:rFonts w:cs="Times New Roman"/>
          <w:b/>
          <w:bCs/>
          <w:caps/>
          <w:szCs w:val="24"/>
          <w:lang w:val="lt-LT"/>
        </w:rPr>
        <w:t xml:space="preserve"> REGION</w:t>
      </w:r>
      <w:r w:rsidR="00D9613B">
        <w:rPr>
          <w:rFonts w:cs="Times New Roman"/>
          <w:b/>
          <w:bCs/>
          <w:caps/>
          <w:szCs w:val="24"/>
          <w:lang w:val="lt-LT"/>
        </w:rPr>
        <w:t xml:space="preserve"> lfc RESERVE PREQUALIFICATION REQUIREMENT</w:t>
      </w:r>
      <w:r w:rsidR="004B1DF1">
        <w:rPr>
          <w:rFonts w:cs="Times New Roman"/>
          <w:b/>
          <w:bCs/>
          <w:caps/>
          <w:szCs w:val="24"/>
          <w:lang w:val="lt-LT"/>
        </w:rPr>
        <w:t xml:space="preserve"> </w:t>
      </w:r>
      <w:r w:rsidR="005F2C91">
        <w:rPr>
          <w:rFonts w:cs="Times New Roman"/>
          <w:b/>
          <w:bCs/>
          <w:caps/>
          <w:szCs w:val="24"/>
          <w:lang w:val="lt-LT"/>
        </w:rPr>
        <w:t>ARTICLE 3 AMENDMENT</w:t>
      </w:r>
      <w:r w:rsidR="00E046DC">
        <w:rPr>
          <w:rFonts w:cs="Times New Roman"/>
          <w:b/>
          <w:bCs/>
          <w:caps/>
          <w:szCs w:val="24"/>
          <w:lang w:val="lt-LT"/>
        </w:rPr>
        <w:t xml:space="preserve"> PROJECT</w:t>
      </w:r>
    </w:p>
    <w:p w14:paraId="39086F13" w14:textId="77777777" w:rsidR="001848C6" w:rsidRPr="000F1AB7" w:rsidRDefault="001848C6" w:rsidP="00B44EDD">
      <w:pPr>
        <w:jc w:val="both"/>
        <w:rPr>
          <w:rFonts w:cs="Times New Roman"/>
          <w:b/>
          <w:bCs/>
          <w:caps/>
          <w:szCs w:val="24"/>
          <w:lang w:val="lt-LT"/>
        </w:rPr>
      </w:pPr>
    </w:p>
    <w:tbl>
      <w:tblPr>
        <w:tblStyle w:val="TableGrid"/>
        <w:tblW w:w="5000" w:type="pct"/>
        <w:tblInd w:w="0" w:type="dxa"/>
        <w:tblLook w:val="04A0" w:firstRow="1" w:lastRow="0" w:firstColumn="1" w:lastColumn="0" w:noHBand="0" w:noVBand="1"/>
      </w:tblPr>
      <w:tblGrid>
        <w:gridCol w:w="2840"/>
        <w:gridCol w:w="5520"/>
        <w:gridCol w:w="5202"/>
      </w:tblGrid>
      <w:tr w:rsidR="001A63F3" w:rsidRPr="000F1AB7" w14:paraId="356F8263" w14:textId="1B6161C7"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hideMark/>
          </w:tcPr>
          <w:p w14:paraId="51BE200F" w14:textId="7EC6CC03" w:rsidR="001A63F3" w:rsidRPr="001A63F3" w:rsidRDefault="001A63F3" w:rsidP="001A63F3">
            <w:pPr>
              <w:pStyle w:val="paragraph"/>
              <w:spacing w:before="0" w:beforeAutospacing="0" w:after="0" w:afterAutospacing="0"/>
              <w:jc w:val="center"/>
              <w:textAlignment w:val="baseline"/>
              <w:rPr>
                <w:rFonts w:eastAsia="Arial"/>
                <w:b/>
                <w:bCs/>
              </w:rPr>
            </w:pPr>
            <w:r w:rsidRPr="001A63F3">
              <w:rPr>
                <w:rFonts w:eastAsia="Arial"/>
                <w:b/>
                <w:bCs/>
              </w:rPr>
              <w:t>Market participant</w:t>
            </w:r>
          </w:p>
        </w:tc>
        <w:tc>
          <w:tcPr>
            <w:tcW w:w="2035" w:type="pct"/>
            <w:tcBorders>
              <w:top w:val="single" w:sz="4" w:space="0" w:color="auto"/>
              <w:left w:val="single" w:sz="4" w:space="0" w:color="auto"/>
              <w:bottom w:val="single" w:sz="4" w:space="0" w:color="auto"/>
              <w:right w:val="single" w:sz="4" w:space="0" w:color="auto"/>
            </w:tcBorders>
            <w:vAlign w:val="center"/>
            <w:hideMark/>
          </w:tcPr>
          <w:p w14:paraId="1A61CFD9" w14:textId="69F8BB0B" w:rsidR="001A63F3" w:rsidRPr="001A63F3" w:rsidRDefault="001A63F3" w:rsidP="001A63F3">
            <w:pPr>
              <w:pStyle w:val="paragraph"/>
              <w:spacing w:before="0" w:beforeAutospacing="0" w:after="0" w:afterAutospacing="0"/>
              <w:jc w:val="center"/>
              <w:textAlignment w:val="baseline"/>
              <w:rPr>
                <w:rStyle w:val="normaltextrun"/>
                <w:rFonts w:eastAsia="Arial"/>
                <w:b/>
                <w:bCs/>
                <w:kern w:val="2"/>
                <w14:ligatures w14:val="standardContextual"/>
              </w:rPr>
            </w:pPr>
            <w:r w:rsidRPr="001A63F3">
              <w:rPr>
                <w:rStyle w:val="normaltextrun"/>
                <w:rFonts w:eastAsia="Arial"/>
                <w:b/>
                <w:bCs/>
                <w:kern w:val="2"/>
                <w14:ligatures w14:val="standardContextual"/>
              </w:rPr>
              <w:t>Q</w:t>
            </w:r>
            <w:r w:rsidRPr="001A63F3">
              <w:rPr>
                <w:rStyle w:val="normaltextrun"/>
                <w:rFonts w:eastAsia="Arial"/>
                <w:b/>
                <w:bCs/>
              </w:rPr>
              <w:t>uestion/comment form the market participants/NRAs</w:t>
            </w:r>
          </w:p>
        </w:tc>
        <w:tc>
          <w:tcPr>
            <w:tcW w:w="1918" w:type="pct"/>
            <w:tcBorders>
              <w:top w:val="single" w:sz="4" w:space="0" w:color="auto"/>
              <w:left w:val="single" w:sz="4" w:space="0" w:color="auto"/>
              <w:bottom w:val="single" w:sz="4" w:space="0" w:color="auto"/>
              <w:right w:val="single" w:sz="4" w:space="0" w:color="auto"/>
            </w:tcBorders>
            <w:vAlign w:val="center"/>
          </w:tcPr>
          <w:p w14:paraId="01F0D9B3" w14:textId="3964EE08" w:rsidR="001A63F3" w:rsidRPr="001A63F3" w:rsidRDefault="001A63F3" w:rsidP="001A63F3">
            <w:pPr>
              <w:pStyle w:val="paragraph"/>
              <w:spacing w:before="0" w:beforeAutospacing="0" w:after="0" w:afterAutospacing="0"/>
              <w:jc w:val="center"/>
              <w:textAlignment w:val="baseline"/>
              <w:rPr>
                <w:rStyle w:val="normaltextrun"/>
                <w:rFonts w:eastAsia="Arial"/>
                <w:b/>
                <w:bCs/>
                <w:kern w:val="2"/>
                <w14:ligatures w14:val="standardContextual"/>
              </w:rPr>
            </w:pPr>
            <w:r w:rsidRPr="001A63F3">
              <w:rPr>
                <w:rStyle w:val="normaltextrun"/>
                <w:rFonts w:eastAsia="Arial"/>
                <w:b/>
                <w:bCs/>
                <w:kern w:val="2"/>
                <w14:ligatures w14:val="standardContextual"/>
              </w:rPr>
              <w:t>Baltic TSO‘s comment</w:t>
            </w:r>
          </w:p>
        </w:tc>
      </w:tr>
      <w:tr w:rsidR="001A63F3" w:rsidRPr="000F1AB7" w14:paraId="2752F4C7" w14:textId="3A40FAFF"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1D35FB85" w14:textId="788BB09A" w:rsidR="001A63F3" w:rsidRPr="000F1AB7" w:rsidRDefault="001A63F3" w:rsidP="001A63F3">
            <w:pPr>
              <w:pStyle w:val="paragraph"/>
              <w:jc w:val="center"/>
              <w:rPr>
                <w:rStyle w:val="normaltextrun"/>
                <w:rFonts w:eastAsia="Arial"/>
              </w:rPr>
            </w:pPr>
            <w:r>
              <w:rPr>
                <w:rStyle w:val="normaltextrun"/>
                <w:rFonts w:eastAsia="Arial"/>
              </w:rPr>
              <w:t xml:space="preserve">VERT - Lithuanian </w:t>
            </w:r>
            <w:r w:rsidRPr="000F1AB7">
              <w:rPr>
                <w:rStyle w:val="normaltextrun"/>
                <w:rFonts w:eastAsia="Arial"/>
              </w:rPr>
              <w:t>NRA</w:t>
            </w:r>
          </w:p>
        </w:tc>
        <w:tc>
          <w:tcPr>
            <w:tcW w:w="2035" w:type="pct"/>
            <w:tcBorders>
              <w:top w:val="single" w:sz="4" w:space="0" w:color="auto"/>
              <w:left w:val="single" w:sz="4" w:space="0" w:color="auto"/>
              <w:bottom w:val="single" w:sz="4" w:space="0" w:color="auto"/>
              <w:right w:val="single" w:sz="4" w:space="0" w:color="auto"/>
            </w:tcBorders>
          </w:tcPr>
          <w:p w14:paraId="60909FE5" w14:textId="2C26042A" w:rsidR="001A63F3" w:rsidRPr="000F1AB7" w:rsidRDefault="001A63F3" w:rsidP="001A63F3">
            <w:pPr>
              <w:pStyle w:val="paragraph"/>
              <w:jc w:val="both"/>
              <w:rPr>
                <w:rStyle w:val="normaltextrun"/>
                <w:rFonts w:eastAsia="Arial"/>
              </w:rPr>
            </w:pPr>
            <w:r w:rsidRPr="000F1AB7">
              <w:t>The explanatory note does not explain the purpose of the proposed additions. In view of this, the National Energy Regulatory Council (VERT) requests an explanation of the circumstances that led to the need for the proposed changes.</w:t>
            </w:r>
          </w:p>
        </w:tc>
        <w:tc>
          <w:tcPr>
            <w:tcW w:w="1918" w:type="pct"/>
            <w:tcBorders>
              <w:top w:val="single" w:sz="4" w:space="0" w:color="auto"/>
              <w:left w:val="single" w:sz="4" w:space="0" w:color="auto"/>
              <w:bottom w:val="single" w:sz="4" w:space="0" w:color="auto"/>
              <w:right w:val="single" w:sz="4" w:space="0" w:color="auto"/>
            </w:tcBorders>
          </w:tcPr>
          <w:p w14:paraId="4AC602E6" w14:textId="77777777" w:rsidR="001A63F3" w:rsidRPr="000F1AB7" w:rsidRDefault="001A63F3" w:rsidP="001A63F3">
            <w:pPr>
              <w:jc w:val="both"/>
              <w:rPr>
                <w:rFonts w:cs="Times New Roman"/>
                <w:lang w:val="lt-LT"/>
              </w:rPr>
            </w:pPr>
            <w:r w:rsidRPr="000F1AB7">
              <w:rPr>
                <w:rFonts w:cs="Times New Roman"/>
                <w:b/>
                <w:bCs/>
                <w:lang w:val="lt-LT"/>
              </w:rPr>
              <w:t>The following explanation is provided</w:t>
            </w:r>
            <w:r w:rsidRPr="000F1AB7">
              <w:rPr>
                <w:rFonts w:cs="Times New Roman"/>
                <w:lang w:val="lt-LT"/>
              </w:rPr>
              <w:t>: This change creates opportunities to provide services to a larger number of service providers.</w:t>
            </w:r>
          </w:p>
          <w:p w14:paraId="69E9EB51" w14:textId="78082F4A" w:rsidR="001A63F3" w:rsidRPr="000F1AB7" w:rsidRDefault="001A63F3" w:rsidP="001A63F3">
            <w:pPr>
              <w:jc w:val="both"/>
              <w:rPr>
                <w:rStyle w:val="normaltextrun"/>
                <w:rFonts w:eastAsia="Arial" w:cs="Times New Roman"/>
                <w:lang w:val="lt-LT"/>
              </w:rPr>
            </w:pPr>
            <w:r w:rsidRPr="000F1AB7">
              <w:rPr>
                <w:rFonts w:cs="Times New Roman"/>
                <w:lang w:val="lt-LT"/>
              </w:rPr>
              <w:t>In this case, service providers whose equipment was put into use before the network connection codes came into force would not be discriminated against.</w:t>
            </w:r>
          </w:p>
        </w:tc>
      </w:tr>
      <w:tr w:rsidR="001A63F3" w:rsidRPr="000F1AB7" w14:paraId="03BFD3CD" w14:textId="289FD863"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1D63ADC7" w14:textId="5B2273D0" w:rsidR="001A63F3" w:rsidRPr="000F1AB7" w:rsidRDefault="001A63F3" w:rsidP="001A63F3">
            <w:pPr>
              <w:pStyle w:val="paragraph"/>
              <w:jc w:val="center"/>
              <w:rPr>
                <w:rStyle w:val="normaltextrun"/>
                <w:rFonts w:eastAsia="Arial"/>
              </w:rPr>
            </w:pPr>
            <w:r>
              <w:rPr>
                <w:rStyle w:val="normaltextrun"/>
                <w:rFonts w:eastAsia="Arial"/>
              </w:rPr>
              <w:t xml:space="preserve">VERT - Lithuanian </w:t>
            </w:r>
            <w:r w:rsidRPr="000F1AB7">
              <w:rPr>
                <w:rStyle w:val="normaltextrun"/>
                <w:rFonts w:eastAsia="Arial"/>
              </w:rPr>
              <w:t>NRA</w:t>
            </w:r>
          </w:p>
        </w:tc>
        <w:tc>
          <w:tcPr>
            <w:tcW w:w="2035" w:type="pct"/>
            <w:tcBorders>
              <w:top w:val="single" w:sz="4" w:space="0" w:color="auto"/>
              <w:left w:val="single" w:sz="4" w:space="0" w:color="auto"/>
              <w:bottom w:val="single" w:sz="4" w:space="0" w:color="auto"/>
              <w:right w:val="single" w:sz="4" w:space="0" w:color="auto"/>
            </w:tcBorders>
          </w:tcPr>
          <w:p w14:paraId="2F8D4FCE" w14:textId="685D095C" w:rsidR="001A63F3" w:rsidRPr="000F1AB7" w:rsidRDefault="001A63F3" w:rsidP="001A63F3">
            <w:pPr>
              <w:pStyle w:val="NormalWeb"/>
              <w:jc w:val="both"/>
              <w:rPr>
                <w:b/>
                <w:bCs/>
                <w:lang w:val="lt-LT"/>
              </w:rPr>
            </w:pPr>
            <w:r w:rsidRPr="000F1AB7">
              <w:rPr>
                <w:lang w:val="lt-LT"/>
              </w:rPr>
              <w:t>The project proposes to add Section 3 with a provision stipulating that “ If the equipment was commissioned before the date of entry into force of RfG and DCC, LFC reserve providing units shall comply with the national requirements at the time of commissioning.</w:t>
            </w:r>
            <w:r w:rsidRPr="000F1AB7">
              <w:rPr>
                <w:b/>
                <w:bCs/>
                <w:lang w:val="lt-LT"/>
              </w:rPr>
              <w:t>.”</w:t>
            </w:r>
          </w:p>
          <w:p w14:paraId="5B3B4C34" w14:textId="76E4B5C3" w:rsidR="001A63F3" w:rsidRPr="000F1AB7" w:rsidRDefault="001A63F3" w:rsidP="001A63F3">
            <w:pPr>
              <w:pStyle w:val="NormalWeb"/>
              <w:jc w:val="both"/>
              <w:rPr>
                <w:lang w:val="lt-LT"/>
              </w:rPr>
            </w:pPr>
            <w:r w:rsidRPr="000F1AB7">
              <w:rPr>
                <w:lang w:val="lt-LT"/>
              </w:rPr>
              <w:t>The proposed formulation creates uncertainty as to when equipment put into operation before the European Commission Regulation (EU) 2016/631 of 14 April 2016 establishing a network code on requirements for grid connection of generators, and the European Commission Regulation (EU) 2016/1388 of 17 August 2016 establishing a network code on demand connection requirements, national requirements apply, since the Baltic Sea Region LFC Reserve Prequalification Principles do not define the term “start of operation.”</w:t>
            </w:r>
          </w:p>
          <w:p w14:paraId="0CE753D7" w14:textId="452DF5CF" w:rsidR="001A63F3" w:rsidRPr="000F1AB7" w:rsidRDefault="001A63F3" w:rsidP="001A63F3">
            <w:pPr>
              <w:pStyle w:val="NormalWeb"/>
              <w:jc w:val="both"/>
              <w:rPr>
                <w:lang w:val="lt-LT"/>
              </w:rPr>
            </w:pPr>
            <w:r w:rsidRPr="000F1AB7">
              <w:rPr>
                <w:lang w:val="lt-LT"/>
              </w:rPr>
              <w:t>Taking this into account, VERT proposes to clarify the above wording by specifying a clear term for its application or to supplement the Baltic Sea Region LFC Reserve Prequalification Principles with a definition of “start of operation of the unit providing LFC reserve.”</w:t>
            </w:r>
          </w:p>
          <w:p w14:paraId="38E922D5" w14:textId="64B3EF75" w:rsidR="001A63F3" w:rsidRPr="000F1AB7" w:rsidRDefault="001A63F3" w:rsidP="001A63F3">
            <w:pPr>
              <w:pStyle w:val="paragraph"/>
              <w:jc w:val="both"/>
              <w:rPr>
                <w:rStyle w:val="normaltextrun"/>
                <w:rFonts w:eastAsia="Arial"/>
              </w:rPr>
            </w:pPr>
          </w:p>
        </w:tc>
        <w:tc>
          <w:tcPr>
            <w:tcW w:w="1918" w:type="pct"/>
            <w:tcBorders>
              <w:top w:val="single" w:sz="4" w:space="0" w:color="auto"/>
              <w:left w:val="single" w:sz="4" w:space="0" w:color="auto"/>
              <w:bottom w:val="single" w:sz="4" w:space="0" w:color="auto"/>
              <w:right w:val="single" w:sz="4" w:space="0" w:color="auto"/>
            </w:tcBorders>
          </w:tcPr>
          <w:p w14:paraId="5A33F774" w14:textId="068F06F0" w:rsidR="001A63F3" w:rsidRPr="00C630E2" w:rsidRDefault="001A63F3" w:rsidP="001A63F3">
            <w:pPr>
              <w:jc w:val="both"/>
              <w:rPr>
                <w:rFonts w:eastAsia="Segoe UI" w:cs="Times New Roman"/>
                <w:b/>
                <w:bCs/>
                <w:color w:val="333333"/>
                <w:szCs w:val="24"/>
              </w:rPr>
            </w:pPr>
            <w:r w:rsidRPr="00C630E2">
              <w:rPr>
                <w:rFonts w:eastAsia="Segoe UI" w:cs="Times New Roman"/>
                <w:b/>
                <w:bCs/>
                <w:color w:val="333333"/>
                <w:szCs w:val="24"/>
              </w:rPr>
              <w:t>Remark is partially evaluated. Explanation is provided:</w:t>
            </w:r>
          </w:p>
          <w:p w14:paraId="55FCCB3B" w14:textId="2E6FB4AD" w:rsidR="001A63F3" w:rsidRPr="00C630E2" w:rsidRDefault="001A63F3" w:rsidP="001A63F3">
            <w:pPr>
              <w:jc w:val="both"/>
              <w:rPr>
                <w:rFonts w:eastAsia="Segoe UI" w:cs="Times New Roman"/>
                <w:color w:val="333333"/>
                <w:szCs w:val="24"/>
              </w:rPr>
            </w:pPr>
            <w:r w:rsidRPr="00C630E2">
              <w:rPr>
                <w:rFonts w:eastAsia="Segoe UI" w:cs="Times New Roman"/>
                <w:color w:val="333333"/>
                <w:szCs w:val="24"/>
              </w:rPr>
              <w:t>The original version uses the expression “</w:t>
            </w:r>
            <w:r w:rsidRPr="00C630E2">
              <w:rPr>
                <w:rFonts w:eastAsia="Segoe UI" w:cs="Times New Roman"/>
                <w:b/>
                <w:bCs/>
                <w:color w:val="333333"/>
                <w:szCs w:val="24"/>
              </w:rPr>
              <w:t>at the time of commissioning</w:t>
            </w:r>
            <w:r w:rsidRPr="00C630E2">
              <w:rPr>
                <w:rFonts w:eastAsia="Segoe UI" w:cs="Times New Roman"/>
                <w:color w:val="333333"/>
                <w:szCs w:val="24"/>
              </w:rPr>
              <w:t>”.</w:t>
            </w:r>
          </w:p>
          <w:p w14:paraId="51E99DBF" w14:textId="77777777" w:rsidR="001A63F3" w:rsidRPr="00C630E2" w:rsidRDefault="001A63F3" w:rsidP="001A63F3">
            <w:pPr>
              <w:jc w:val="both"/>
              <w:rPr>
                <w:rFonts w:eastAsia="Segoe UI" w:cs="Times New Roman"/>
                <w:color w:val="333333"/>
                <w:szCs w:val="24"/>
              </w:rPr>
            </w:pPr>
            <w:r w:rsidRPr="00C630E2">
              <w:rPr>
                <w:rFonts w:eastAsia="Segoe UI" w:cs="Times New Roman"/>
                <w:color w:val="333333"/>
                <w:szCs w:val="24"/>
              </w:rPr>
              <w:t>In the light of the observation received, in accordance with the English version of Article 4 (2(a)) of the Commission Regulation (EU) 2016/631 of 14 April 2016 on the network code laying down the requirements for connection of generators to the electricity grid (hereinafter referred to as “</w:t>
            </w:r>
            <w:proofErr w:type="spellStart"/>
            <w:r w:rsidRPr="00C630E2">
              <w:rPr>
                <w:rFonts w:eastAsia="Segoe UI" w:cs="Times New Roman"/>
                <w:color w:val="333333"/>
                <w:szCs w:val="24"/>
              </w:rPr>
              <w:t>RfG</w:t>
            </w:r>
            <w:proofErr w:type="spellEnd"/>
            <w:r w:rsidRPr="00C630E2">
              <w:rPr>
                <w:rFonts w:eastAsia="Segoe UI" w:cs="Times New Roman"/>
                <w:color w:val="333333"/>
                <w:szCs w:val="24"/>
              </w:rPr>
              <w:t>”), we formulate the requirement in the following language:</w:t>
            </w:r>
            <w:r w:rsidRPr="00C630E2">
              <w:rPr>
                <w:rFonts w:eastAsia="Segoe UI" w:cs="Times New Roman"/>
                <w:color w:val="333333"/>
                <w:szCs w:val="24"/>
              </w:rPr>
              <w:br/>
            </w:r>
            <w:r w:rsidRPr="00C630E2">
              <w:rPr>
                <w:rFonts w:eastAsia="Segoe UI" w:cs="Times New Roman"/>
                <w:color w:val="333333"/>
                <w:szCs w:val="24"/>
              </w:rPr>
              <w:br/>
              <w:t xml:space="preserve">"All LFC Reserve Units which are considered existing in accordance with </w:t>
            </w:r>
            <w:proofErr w:type="spellStart"/>
            <w:r w:rsidRPr="00C630E2">
              <w:rPr>
                <w:rFonts w:eastAsia="Segoe UI" w:cs="Times New Roman"/>
                <w:color w:val="333333"/>
                <w:szCs w:val="24"/>
              </w:rPr>
              <w:t>RfG</w:t>
            </w:r>
            <w:proofErr w:type="spellEnd"/>
            <w:r w:rsidRPr="00C630E2">
              <w:rPr>
                <w:rFonts w:eastAsia="Segoe UI" w:cs="Times New Roman"/>
                <w:color w:val="333333"/>
                <w:szCs w:val="24"/>
              </w:rPr>
              <w:t xml:space="preserve"> and DCC shall comply with national requirements </w:t>
            </w:r>
            <w:r w:rsidRPr="00C630E2">
              <w:rPr>
                <w:rFonts w:eastAsia="Segoe UI" w:cs="Times New Roman"/>
                <w:b/>
                <w:bCs/>
                <w:color w:val="333333"/>
                <w:szCs w:val="24"/>
              </w:rPr>
              <w:t>at the time of connection</w:t>
            </w:r>
            <w:r w:rsidRPr="00C630E2">
              <w:rPr>
                <w:rFonts w:eastAsia="Segoe UI" w:cs="Times New Roman"/>
                <w:color w:val="333333"/>
                <w:szCs w:val="24"/>
              </w:rPr>
              <w:t>.</w:t>
            </w:r>
          </w:p>
          <w:p w14:paraId="0A558108" w14:textId="77777777" w:rsidR="001A63F3" w:rsidRPr="00C630E2" w:rsidRDefault="001A63F3" w:rsidP="001A63F3">
            <w:pPr>
              <w:jc w:val="both"/>
              <w:rPr>
                <w:rFonts w:eastAsia="Segoe UI" w:cs="Times New Roman"/>
                <w:color w:val="333333"/>
                <w:szCs w:val="24"/>
              </w:rPr>
            </w:pPr>
            <w:r w:rsidRPr="00C630E2">
              <w:rPr>
                <w:rFonts w:eastAsia="Segoe UI" w:cs="Times New Roman"/>
                <w:color w:val="333333"/>
                <w:szCs w:val="24"/>
              </w:rPr>
              <w:t>All other LFC Reserve Units shall comply with the requirements set in this paragraph."</w:t>
            </w:r>
            <w:r w:rsidRPr="00C630E2">
              <w:rPr>
                <w:rFonts w:eastAsia="Segoe UI" w:cs="Times New Roman"/>
                <w:color w:val="333333"/>
                <w:szCs w:val="24"/>
              </w:rPr>
              <w:br/>
            </w:r>
            <w:r w:rsidRPr="00C630E2">
              <w:rPr>
                <w:rFonts w:eastAsia="Segoe UI" w:cs="Times New Roman"/>
                <w:color w:val="333333"/>
                <w:szCs w:val="24"/>
              </w:rPr>
              <w:br/>
              <w:t xml:space="preserve">This formulation avoids ambiguity as the term "existing power-generating modules" is clearly defined in </w:t>
            </w:r>
            <w:proofErr w:type="spellStart"/>
            <w:r w:rsidRPr="00C630E2">
              <w:rPr>
                <w:rFonts w:eastAsia="Segoe UI" w:cs="Times New Roman"/>
                <w:color w:val="333333"/>
                <w:szCs w:val="24"/>
              </w:rPr>
              <w:t>RfG</w:t>
            </w:r>
            <w:proofErr w:type="spellEnd"/>
            <w:r w:rsidRPr="00C630E2">
              <w:rPr>
                <w:rFonts w:eastAsia="Segoe UI" w:cs="Times New Roman"/>
                <w:color w:val="333333"/>
                <w:szCs w:val="24"/>
              </w:rPr>
              <w:t xml:space="preserve"> and is tied to the extent of applicability to </w:t>
            </w:r>
            <w:proofErr w:type="spellStart"/>
            <w:r w:rsidRPr="00C630E2">
              <w:rPr>
                <w:rFonts w:eastAsia="Segoe UI" w:cs="Times New Roman"/>
                <w:color w:val="333333"/>
                <w:szCs w:val="24"/>
              </w:rPr>
              <w:t>RfG</w:t>
            </w:r>
            <w:proofErr w:type="spellEnd"/>
            <w:r w:rsidRPr="00C630E2">
              <w:rPr>
                <w:rFonts w:eastAsia="Segoe UI" w:cs="Times New Roman"/>
                <w:color w:val="333333"/>
                <w:szCs w:val="24"/>
              </w:rPr>
              <w:t xml:space="preserve"> and DCC.</w:t>
            </w:r>
          </w:p>
          <w:p w14:paraId="173D1C6B" w14:textId="4E5B8990" w:rsidR="001A63F3" w:rsidRPr="00B367DB" w:rsidRDefault="001A63F3" w:rsidP="001A63F3">
            <w:pPr>
              <w:pStyle w:val="paragraph"/>
              <w:jc w:val="both"/>
              <w:rPr>
                <w:rStyle w:val="normaltextrun"/>
                <w:rFonts w:eastAsia="Arial"/>
              </w:rPr>
            </w:pPr>
          </w:p>
        </w:tc>
      </w:tr>
      <w:tr w:rsidR="001A63F3" w:rsidRPr="000F1AB7" w14:paraId="075AD0D9" w14:textId="0E7129A5"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11E9DF8B" w14:textId="503AF584" w:rsidR="001A63F3" w:rsidRPr="000F1AB7" w:rsidRDefault="001A63F3" w:rsidP="001A63F3">
            <w:pPr>
              <w:pStyle w:val="paragraph"/>
              <w:spacing w:before="0" w:beforeAutospacing="0" w:after="0" w:afterAutospacing="0"/>
              <w:jc w:val="center"/>
              <w:textAlignment w:val="baseline"/>
              <w:rPr>
                <w:rStyle w:val="normaltextrun"/>
                <w:rFonts w:eastAsia="Arial"/>
                <w:kern w:val="2"/>
                <w14:ligatures w14:val="standardContextual"/>
              </w:rPr>
            </w:pPr>
            <w:r>
              <w:rPr>
                <w:rStyle w:val="normaltextrun"/>
                <w:rFonts w:eastAsia="Arial"/>
              </w:rPr>
              <w:lastRenderedPageBreak/>
              <w:t xml:space="preserve">VERT - Lithuanian </w:t>
            </w:r>
            <w:r w:rsidRPr="000F1AB7">
              <w:rPr>
                <w:rStyle w:val="normaltextrun"/>
                <w:rFonts w:eastAsia="Arial"/>
              </w:rPr>
              <w:t>NRA</w:t>
            </w:r>
          </w:p>
        </w:tc>
        <w:tc>
          <w:tcPr>
            <w:tcW w:w="2035" w:type="pct"/>
            <w:tcBorders>
              <w:top w:val="single" w:sz="4" w:space="0" w:color="auto"/>
              <w:left w:val="single" w:sz="4" w:space="0" w:color="auto"/>
              <w:bottom w:val="single" w:sz="4" w:space="0" w:color="auto"/>
              <w:right w:val="single" w:sz="4" w:space="0" w:color="auto"/>
            </w:tcBorders>
          </w:tcPr>
          <w:p w14:paraId="0B1D8A99" w14:textId="126D6E3A"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0F1AB7">
              <w:rPr>
                <w:rStyle w:val="normaltextrun"/>
                <w:rFonts w:eastAsia="Arial"/>
                <w:kern w:val="2"/>
                <w14:ligatures w14:val="standardContextual"/>
              </w:rPr>
              <w:t>I</w:t>
            </w:r>
            <w:r w:rsidRPr="000F1AB7">
              <w:rPr>
                <w:rStyle w:val="normaltextrun"/>
                <w:rFonts w:eastAsia="Arial"/>
              </w:rPr>
              <w:t xml:space="preserve">t is proposed to further specify: </w:t>
            </w:r>
            <w:r w:rsidRPr="000F1AB7">
              <w:rPr>
                <w:rStyle w:val="normaltextrun"/>
                <w:rFonts w:eastAsia="Arial"/>
                <w:b/>
                <w:bCs/>
              </w:rPr>
              <w:t>„Including but not limited to that specified in Table 1, units providing LFC reserve must meet the requirement to operate indefinitely in the frequency range 49,0-51,0 Hz.“</w:t>
            </w:r>
            <w:r w:rsidRPr="000F1AB7">
              <w:rPr>
                <w:rStyle w:val="normaltextrun"/>
                <w:rFonts w:eastAsia="Arial"/>
              </w:rPr>
              <w:t xml:space="preserve"> The requirement to operate indefinitely applies to production units. It should be noted that demandunits can also provide LFC reserve, so it is believed that the requirement is not correct in relation to such units.</w:t>
            </w:r>
          </w:p>
        </w:tc>
        <w:tc>
          <w:tcPr>
            <w:tcW w:w="1918" w:type="pct"/>
            <w:tcBorders>
              <w:top w:val="single" w:sz="4" w:space="0" w:color="auto"/>
              <w:left w:val="single" w:sz="4" w:space="0" w:color="auto"/>
              <w:bottom w:val="single" w:sz="4" w:space="0" w:color="auto"/>
              <w:right w:val="single" w:sz="4" w:space="0" w:color="auto"/>
            </w:tcBorders>
          </w:tcPr>
          <w:p w14:paraId="58BBA680" w14:textId="6107D907" w:rsidR="001A63F3" w:rsidRPr="000F1AB7" w:rsidRDefault="001A63F3" w:rsidP="001A63F3">
            <w:pPr>
              <w:pStyle w:val="NormalWeb"/>
              <w:jc w:val="both"/>
              <w:rPr>
                <w:lang w:val="lt-LT"/>
              </w:rPr>
            </w:pPr>
            <w:r w:rsidRPr="000F1AB7">
              <w:rPr>
                <w:rStyle w:val="Strong"/>
                <w:rFonts w:eastAsiaTheme="majorEastAsia"/>
                <w:lang w:val="lt-LT"/>
              </w:rPr>
              <w:t xml:space="preserve">The </w:t>
            </w:r>
            <w:r>
              <w:rPr>
                <w:rStyle w:val="Strong"/>
                <w:rFonts w:eastAsiaTheme="majorEastAsia"/>
                <w:lang w:val="lt-LT"/>
              </w:rPr>
              <w:t>remark</w:t>
            </w:r>
            <w:r w:rsidRPr="000F1AB7">
              <w:rPr>
                <w:rStyle w:val="Strong"/>
                <w:rFonts w:eastAsiaTheme="majorEastAsia"/>
                <w:lang w:val="lt-LT"/>
              </w:rPr>
              <w:t xml:space="preserve"> is not evaluated.</w:t>
            </w:r>
          </w:p>
          <w:p w14:paraId="31EF5B23" w14:textId="77777777" w:rsidR="001A63F3" w:rsidRPr="000F1AB7" w:rsidRDefault="001A63F3" w:rsidP="001A63F3">
            <w:pPr>
              <w:pStyle w:val="NormalWeb"/>
              <w:jc w:val="both"/>
              <w:rPr>
                <w:lang w:val="lt-LT"/>
              </w:rPr>
            </w:pPr>
            <w:r w:rsidRPr="000F1AB7">
              <w:rPr>
                <w:lang w:val="lt-LT"/>
              </w:rPr>
              <w:t>These requirements aim to create equal and non-discriminatory conditions for all market participants providing services, including demand facilities.</w:t>
            </w:r>
          </w:p>
          <w:p w14:paraId="46881100" w14:textId="77777777" w:rsidR="001A63F3" w:rsidRPr="000F1AB7" w:rsidRDefault="001A63F3" w:rsidP="001A63F3">
            <w:pPr>
              <w:pStyle w:val="NormalWeb"/>
              <w:jc w:val="both"/>
              <w:rPr>
                <w:lang w:val="lt-LT"/>
              </w:rPr>
            </w:pPr>
            <w:r w:rsidRPr="000F1AB7">
              <w:rPr>
                <w:lang w:val="lt-LT"/>
              </w:rPr>
              <w:t>Newly connected demand facilities must comply with the requirements for demand connection established by the Commission Regulation (EU) 2016/1388 of 17 August 2024.</w:t>
            </w:r>
          </w:p>
          <w:p w14:paraId="26576766" w14:textId="77777777"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p>
        </w:tc>
      </w:tr>
      <w:tr w:rsidR="001A63F3" w:rsidRPr="000F1AB7" w14:paraId="476B9019" w14:textId="500B2C60"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63DBCD95" w14:textId="11FCE711" w:rsidR="001A63F3" w:rsidRPr="000F1AB7" w:rsidRDefault="001A63F3" w:rsidP="001A63F3">
            <w:pPr>
              <w:pStyle w:val="paragraph"/>
              <w:spacing w:before="0" w:beforeAutospacing="0" w:after="0" w:afterAutospacing="0"/>
              <w:jc w:val="center"/>
              <w:textAlignment w:val="baseline"/>
              <w:rPr>
                <w:rStyle w:val="normaltextrun"/>
                <w:rFonts w:eastAsia="Arial"/>
                <w:kern w:val="2"/>
                <w14:ligatures w14:val="standardContextual"/>
              </w:rPr>
            </w:pPr>
            <w:r w:rsidRPr="000F1AB7">
              <w:rPr>
                <w:color w:val="242424"/>
                <w:sz w:val="22"/>
                <w:szCs w:val="22"/>
                <w:bdr w:val="none" w:sz="0" w:space="0" w:color="auto" w:frame="1"/>
              </w:rPr>
              <w:t>Anonymous</w:t>
            </w:r>
          </w:p>
        </w:tc>
        <w:tc>
          <w:tcPr>
            <w:tcW w:w="2035" w:type="pct"/>
            <w:tcBorders>
              <w:top w:val="single" w:sz="4" w:space="0" w:color="auto"/>
              <w:left w:val="single" w:sz="4" w:space="0" w:color="auto"/>
              <w:bottom w:val="single" w:sz="4" w:space="0" w:color="auto"/>
              <w:right w:val="single" w:sz="4" w:space="0" w:color="auto"/>
            </w:tcBorders>
          </w:tcPr>
          <w:p w14:paraId="55DE2CDA" w14:textId="1750B743"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0F1AB7">
              <w:rPr>
                <w:rStyle w:val="normaltextrun"/>
                <w:rFonts w:eastAsia="Arial"/>
                <w:kern w:val="2"/>
                <w14:ligatures w14:val="standardContextual"/>
              </w:rPr>
              <w:t>Related document includes required signals and testing procedure. On the other hand, it is highly recommended to give required specifications explicitly. For example: A conclusion from testing method (Chapter 5, section “5.5.3 Testing Method”) suggests that regardless of the active power magnitude change triggered by frequency changes, it is expected that the Park Controller provides a response within 5 minutes. This observation implicitly suggests that the Park Controller needs to operate with a dynamic ramp-rates to implement the active power response, but technical requirements do not mention about this requirement explicitly. To include full and comprehensive list of requirements in the document would set clear set of rules for all parties which prevents any misalignments.</w:t>
            </w:r>
          </w:p>
        </w:tc>
        <w:tc>
          <w:tcPr>
            <w:tcW w:w="1918" w:type="pct"/>
            <w:tcBorders>
              <w:top w:val="single" w:sz="4" w:space="0" w:color="auto"/>
              <w:left w:val="single" w:sz="4" w:space="0" w:color="auto"/>
              <w:bottom w:val="single" w:sz="4" w:space="0" w:color="auto"/>
              <w:right w:val="single" w:sz="4" w:space="0" w:color="auto"/>
            </w:tcBorders>
          </w:tcPr>
          <w:p w14:paraId="3A475B3F" w14:textId="648D11E9" w:rsidR="001A63F3" w:rsidRPr="000F1AB7" w:rsidRDefault="001A63F3" w:rsidP="001A63F3">
            <w:pPr>
              <w:pStyle w:val="NormalWeb"/>
              <w:jc w:val="both"/>
              <w:rPr>
                <w:lang w:val="lt-LT"/>
              </w:rPr>
            </w:pPr>
            <w:r w:rsidRPr="000F1AB7">
              <w:rPr>
                <w:rStyle w:val="Strong"/>
                <w:rFonts w:eastAsiaTheme="majorEastAsia"/>
                <w:lang w:val="lt-LT"/>
              </w:rPr>
              <w:t xml:space="preserve">The </w:t>
            </w:r>
            <w:r>
              <w:rPr>
                <w:rStyle w:val="Strong"/>
                <w:rFonts w:eastAsiaTheme="majorEastAsia"/>
                <w:lang w:val="lt-LT"/>
              </w:rPr>
              <w:t>remark</w:t>
            </w:r>
            <w:r w:rsidRPr="000F1AB7">
              <w:rPr>
                <w:rStyle w:val="Strong"/>
                <w:rFonts w:eastAsiaTheme="majorEastAsia"/>
                <w:lang w:val="lt-LT"/>
              </w:rPr>
              <w:t xml:space="preserve"> is not evaluated.</w:t>
            </w:r>
          </w:p>
          <w:p w14:paraId="5E84548E" w14:textId="77777777" w:rsidR="001A63F3" w:rsidRPr="000F1AB7" w:rsidRDefault="001A63F3" w:rsidP="001A63F3">
            <w:pPr>
              <w:pStyle w:val="NormalWeb"/>
              <w:jc w:val="both"/>
              <w:rPr>
                <w:lang w:val="lt-LT"/>
              </w:rPr>
            </w:pPr>
            <w:r w:rsidRPr="000F1AB7">
              <w:rPr>
                <w:lang w:val="lt-LT"/>
              </w:rPr>
              <w:t>The consultation was conducted only for the amendment of Chapter 3. Detailed requirements are established in the connection conditions and/or connection network codes set by the operator.</w:t>
            </w:r>
          </w:p>
          <w:p w14:paraId="57B245E6" w14:textId="77777777"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p>
        </w:tc>
      </w:tr>
      <w:tr w:rsidR="001A63F3" w:rsidRPr="000F1AB7" w14:paraId="7BAB0F6E" w14:textId="028EE6FE"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4F546A4F" w14:textId="58FDD029" w:rsidR="001A63F3" w:rsidRPr="000F1AB7" w:rsidRDefault="001A63F3" w:rsidP="001A63F3">
            <w:pPr>
              <w:pStyle w:val="paragraph"/>
              <w:spacing w:before="0" w:beforeAutospacing="0" w:after="0" w:afterAutospacing="0"/>
              <w:jc w:val="center"/>
              <w:textAlignment w:val="baseline"/>
              <w:rPr>
                <w:rStyle w:val="normaltextrun"/>
                <w:rFonts w:eastAsia="Arial"/>
                <w:kern w:val="2"/>
                <w14:ligatures w14:val="standardContextual"/>
              </w:rPr>
            </w:pPr>
            <w:r w:rsidRPr="000F1AB7">
              <w:rPr>
                <w:color w:val="242424"/>
                <w:sz w:val="22"/>
                <w:szCs w:val="22"/>
                <w:bdr w:val="none" w:sz="0" w:space="0" w:color="auto" w:frame="1"/>
              </w:rPr>
              <w:t>Anonymous</w:t>
            </w:r>
          </w:p>
        </w:tc>
        <w:tc>
          <w:tcPr>
            <w:tcW w:w="2035" w:type="pct"/>
            <w:tcBorders>
              <w:top w:val="single" w:sz="4" w:space="0" w:color="auto"/>
              <w:left w:val="single" w:sz="4" w:space="0" w:color="auto"/>
              <w:bottom w:val="single" w:sz="4" w:space="0" w:color="auto"/>
              <w:right w:val="single" w:sz="4" w:space="0" w:color="auto"/>
            </w:tcBorders>
          </w:tcPr>
          <w:p w14:paraId="0E9343FC" w14:textId="77777777"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0F1AB7">
              <w:rPr>
                <w:rStyle w:val="normaltextrun"/>
                <w:rFonts w:eastAsia="Arial"/>
                <w:kern w:val="2"/>
                <w14:ligatures w14:val="standardContextual"/>
              </w:rPr>
              <w:t>It is highly recommended to add description of how FCR; aFRR, mFRR is required to interact with other controller mechanisms such as ´Active Power Control` and ´Frequency Control (LFSM/FSM)</w:t>
            </w:r>
          </w:p>
          <w:p w14:paraId="4DBA35B4" w14:textId="42A3C854"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0F1AB7">
              <w:rPr>
                <w:rStyle w:val="normaltextrun"/>
                <w:rFonts w:eastAsia="Arial"/>
                <w:kern w:val="2"/>
                <w14:ligatures w14:val="standardContextual"/>
              </w:rPr>
              <w:t>This will point out clear description of requirements for all relevant parties.</w:t>
            </w:r>
          </w:p>
        </w:tc>
        <w:tc>
          <w:tcPr>
            <w:tcW w:w="1918" w:type="pct"/>
            <w:tcBorders>
              <w:top w:val="single" w:sz="4" w:space="0" w:color="auto"/>
              <w:left w:val="single" w:sz="4" w:space="0" w:color="auto"/>
              <w:bottom w:val="single" w:sz="4" w:space="0" w:color="auto"/>
              <w:right w:val="single" w:sz="4" w:space="0" w:color="auto"/>
            </w:tcBorders>
          </w:tcPr>
          <w:p w14:paraId="01684B9A" w14:textId="5DE045AD" w:rsidR="001A63F3" w:rsidRPr="000F1AB7" w:rsidRDefault="001A63F3" w:rsidP="001A63F3">
            <w:pPr>
              <w:pStyle w:val="NormalWeb"/>
              <w:jc w:val="both"/>
              <w:rPr>
                <w:lang w:val="lt-LT"/>
              </w:rPr>
            </w:pPr>
            <w:r w:rsidRPr="000F1AB7">
              <w:rPr>
                <w:rStyle w:val="Strong"/>
                <w:rFonts w:eastAsiaTheme="majorEastAsia"/>
                <w:lang w:val="lt-LT"/>
              </w:rPr>
              <w:t xml:space="preserve">The </w:t>
            </w:r>
            <w:r>
              <w:rPr>
                <w:rStyle w:val="Strong"/>
                <w:rFonts w:eastAsiaTheme="majorEastAsia"/>
                <w:lang w:val="lt-LT"/>
              </w:rPr>
              <w:t>remark</w:t>
            </w:r>
            <w:r w:rsidRPr="000F1AB7">
              <w:rPr>
                <w:rStyle w:val="Strong"/>
                <w:rFonts w:eastAsiaTheme="majorEastAsia"/>
                <w:lang w:val="lt-LT"/>
              </w:rPr>
              <w:t xml:space="preserve"> is not evaluated.</w:t>
            </w:r>
          </w:p>
          <w:p w14:paraId="1928F843" w14:textId="77777777" w:rsidR="001A63F3" w:rsidRPr="000F1AB7" w:rsidRDefault="001A63F3" w:rsidP="001A63F3">
            <w:pPr>
              <w:pStyle w:val="NormalWeb"/>
              <w:jc w:val="both"/>
              <w:rPr>
                <w:lang w:val="lt-LT"/>
              </w:rPr>
            </w:pPr>
            <w:r w:rsidRPr="000F1AB7">
              <w:rPr>
                <w:lang w:val="lt-LT"/>
              </w:rPr>
              <w:t>The consultation was conducted only for the amendment of Chapter 3. Detailed requirements are established in the connection conditions and/or connection network codes set by the operator.</w:t>
            </w:r>
          </w:p>
          <w:p w14:paraId="3F4048C2" w14:textId="77777777"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p>
        </w:tc>
      </w:tr>
      <w:tr w:rsidR="001A63F3" w:rsidRPr="000F1AB7" w14:paraId="0081BFE5" w14:textId="77777777"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2FEB8576" w14:textId="532713AC" w:rsidR="001A63F3" w:rsidRPr="000F1AB7" w:rsidRDefault="001A63F3" w:rsidP="001A63F3">
            <w:pPr>
              <w:pStyle w:val="paragraph"/>
              <w:spacing w:before="0" w:beforeAutospacing="0" w:after="0" w:afterAutospacing="0"/>
              <w:jc w:val="center"/>
              <w:textAlignment w:val="baseline"/>
              <w:rPr>
                <w:color w:val="242424"/>
                <w:sz w:val="22"/>
                <w:szCs w:val="22"/>
                <w:bdr w:val="none" w:sz="0" w:space="0" w:color="auto" w:frame="1"/>
              </w:rPr>
            </w:pPr>
            <w:r w:rsidRPr="000F1AB7">
              <w:rPr>
                <w:rStyle w:val="normaltextrun"/>
                <w:rFonts w:eastAsia="Arial"/>
                <w:kern w:val="2"/>
                <w14:ligatures w14:val="standardContextual"/>
              </w:rPr>
              <w:lastRenderedPageBreak/>
              <w:t>E</w:t>
            </w:r>
            <w:r w:rsidRPr="000F1AB7">
              <w:rPr>
                <w:rStyle w:val="normaltextrun"/>
                <w:rFonts w:eastAsia="Arial"/>
              </w:rPr>
              <w:t>esti Energia AS</w:t>
            </w:r>
          </w:p>
        </w:tc>
        <w:tc>
          <w:tcPr>
            <w:tcW w:w="2035" w:type="pct"/>
            <w:tcBorders>
              <w:top w:val="single" w:sz="4" w:space="0" w:color="auto"/>
              <w:left w:val="single" w:sz="4" w:space="0" w:color="auto"/>
              <w:bottom w:val="single" w:sz="4" w:space="0" w:color="auto"/>
              <w:right w:val="single" w:sz="4" w:space="0" w:color="auto"/>
            </w:tcBorders>
          </w:tcPr>
          <w:p w14:paraId="0EAD2809" w14:textId="77777777"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0F1AB7">
              <w:rPr>
                <w:rStyle w:val="normaltextrun"/>
                <w:rFonts w:eastAsia="Arial"/>
                <w:kern w:val="2"/>
                <w14:ligatures w14:val="standardContextual"/>
              </w:rPr>
              <w:t>First, it is unclear whether “this paragraph” refers to Article 3 in this document or something else.</w:t>
            </w:r>
          </w:p>
          <w:p w14:paraId="39F358C6" w14:textId="23E5A109"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0F1AB7">
              <w:rPr>
                <w:rStyle w:val="normaltextrun"/>
                <w:rFonts w:eastAsia="Arial"/>
                <w:kern w:val="2"/>
                <w14:ligatures w14:val="standardContextual"/>
              </w:rPr>
              <w:t>Second, based on the previous public consultation of the same matter (</w:t>
            </w:r>
            <w:r>
              <w:fldChar w:fldCharType="begin"/>
            </w:r>
            <w:r>
              <w:instrText>HYPERLINK "https://www.elering.ee/loppenud-konsultatsioonid?page=2" \l "accordion2053"</w:instrText>
            </w:r>
            <w:r>
              <w:fldChar w:fldCharType="separate"/>
            </w:r>
            <w:r w:rsidRPr="000F1AB7">
              <w:rPr>
                <w:rStyle w:val="Hyperlink"/>
                <w:rFonts w:eastAsia="Arial"/>
                <w:kern w:val="2"/>
                <w14:ligatures w14:val="standardContextual"/>
              </w:rPr>
              <w:t>https://www.elering.ee/loppenud-konsultatsioonid?page=2#accordion2053</w:t>
            </w:r>
            <w:r>
              <w:rPr>
                <w:rStyle w:val="Hyperlink"/>
                <w:rFonts w:eastAsia="Arial"/>
                <w:kern w:val="2"/>
                <w14:ligatures w14:val="standardContextual"/>
              </w:rPr>
              <w:fldChar w:fldCharType="end"/>
            </w:r>
            <w:r w:rsidRPr="000F1AB7">
              <w:rPr>
                <w:rStyle w:val="normaltextrun"/>
                <w:rFonts w:eastAsia="Arial"/>
                <w:kern w:val="2"/>
                <w14:ligatures w14:val="standardContextual"/>
              </w:rPr>
              <w:t xml:space="preserve">) and on the received clarifications by Elering thereafter, we understood that the principle of following the national requirements at the time of commissioning for the assets that were commissioned before the date of entry into force of RfG is generally being adhered to during the prequalification tests. That means, not just the requirements given in Article/paragraph 3 but also the rest of the document, e.g. the start of activation of FCR reserves etc. Therefore, given the lack of balancing reserves in the Baltic states, we propose to rephrase the paragraph so that </w:t>
            </w:r>
            <w:r w:rsidRPr="000F1AB7">
              <w:rPr>
                <w:rStyle w:val="normaltextrun"/>
                <w:rFonts w:eastAsia="Arial"/>
                <w:kern w:val="2"/>
                <w:u w:val="single"/>
                <w14:ligatures w14:val="standardContextual"/>
              </w:rPr>
              <w:t>for the assets that were commissioned before the date of entry into force of RfG, each TSO has the right to decide, whether to qualify the assets based on the national requirements at the time of commissioning these assets or require adhering to the requirements set in this document</w:t>
            </w:r>
            <w:r w:rsidRPr="000F1AB7">
              <w:rPr>
                <w:rStyle w:val="normaltextrun"/>
                <w:rFonts w:eastAsia="Arial"/>
                <w:kern w:val="2"/>
                <w14:ligatures w14:val="standardContextual"/>
              </w:rPr>
              <w:t xml:space="preserve">. </w:t>
            </w:r>
            <w:r w:rsidRPr="000F1AB7">
              <w:rPr>
                <w:rStyle w:val="normaltextrun"/>
                <w:rFonts w:eastAsia="Arial"/>
                <w:i/>
                <w:iCs/>
                <w:kern w:val="2"/>
                <w14:ligatures w14:val="standardContextual"/>
              </w:rPr>
              <w:t>(This is more general wording and refers to all the requirements not just Article 3/”this paragraph”).</w:t>
            </w:r>
          </w:p>
        </w:tc>
        <w:tc>
          <w:tcPr>
            <w:tcW w:w="1918" w:type="pct"/>
            <w:tcBorders>
              <w:top w:val="single" w:sz="4" w:space="0" w:color="auto"/>
              <w:left w:val="single" w:sz="4" w:space="0" w:color="auto"/>
              <w:bottom w:val="single" w:sz="4" w:space="0" w:color="auto"/>
              <w:right w:val="single" w:sz="4" w:space="0" w:color="auto"/>
            </w:tcBorders>
          </w:tcPr>
          <w:p w14:paraId="027AFEF6" w14:textId="00F25B36" w:rsidR="001A63F3" w:rsidRDefault="001A63F3" w:rsidP="001A63F3">
            <w:pPr>
              <w:pStyle w:val="paragraph"/>
              <w:spacing w:before="0" w:beforeAutospacing="0" w:after="0" w:afterAutospacing="0"/>
              <w:jc w:val="both"/>
              <w:textAlignment w:val="baseline"/>
              <w:rPr>
                <w:rStyle w:val="normaltextrun"/>
                <w:rFonts w:eastAsia="Arial"/>
                <w:b/>
                <w:bCs/>
              </w:rPr>
            </w:pPr>
            <w:r>
              <w:rPr>
                <w:rStyle w:val="normaltextrun"/>
                <w:rFonts w:eastAsia="Arial"/>
                <w:b/>
                <w:bCs/>
                <w:kern w:val="2"/>
                <w14:ligatures w14:val="standardContextual"/>
              </w:rPr>
              <w:t>The remark is not evaluated.</w:t>
            </w:r>
          </w:p>
          <w:p w14:paraId="4393E60E" w14:textId="5BA96F2D" w:rsidR="001A63F3" w:rsidRDefault="001A63F3" w:rsidP="001A63F3">
            <w:pPr>
              <w:pStyle w:val="paragraph"/>
              <w:spacing w:before="0" w:beforeAutospacing="0" w:after="0" w:afterAutospacing="0"/>
              <w:jc w:val="both"/>
              <w:textAlignment w:val="baseline"/>
              <w:rPr>
                <w:rStyle w:val="normaltextrun"/>
                <w:rFonts w:eastAsia="Arial"/>
              </w:rPr>
            </w:pPr>
            <w:r>
              <w:rPr>
                <w:rStyle w:val="normaltextrun"/>
                <w:rFonts w:eastAsia="Arial"/>
              </w:rPr>
              <w:t xml:space="preserve">The version of the proposed amendment specifies the application of the requirements before/after the entry into force of the connection codes. </w:t>
            </w:r>
            <w:r>
              <w:t>An additional provision granting the operator the right to decide on the applicability of the requirements is unnecessary.</w:t>
            </w:r>
          </w:p>
          <w:p w14:paraId="1BED73E4" w14:textId="77777777" w:rsidR="001A63F3" w:rsidRDefault="001A63F3" w:rsidP="001A63F3">
            <w:pPr>
              <w:pStyle w:val="paragraph"/>
              <w:spacing w:before="0" w:beforeAutospacing="0" w:after="0" w:afterAutospacing="0"/>
              <w:jc w:val="both"/>
              <w:textAlignment w:val="baseline"/>
              <w:rPr>
                <w:rStyle w:val="normaltextrun"/>
                <w:rFonts w:eastAsia="Arial"/>
              </w:rPr>
            </w:pPr>
          </w:p>
          <w:p w14:paraId="7F83C346" w14:textId="77777777" w:rsidR="001A63F3" w:rsidRDefault="001A63F3" w:rsidP="001A63F3">
            <w:pPr>
              <w:pStyle w:val="paragraph"/>
              <w:spacing w:before="0" w:beforeAutospacing="0" w:after="0" w:afterAutospacing="0"/>
              <w:jc w:val="both"/>
              <w:textAlignment w:val="baseline"/>
              <w:rPr>
                <w:rStyle w:val="normaltextrun"/>
                <w:rFonts w:eastAsia="Arial"/>
                <w:b/>
                <w:bCs/>
              </w:rPr>
            </w:pPr>
            <w:r>
              <w:rPr>
                <w:rStyle w:val="normaltextrun"/>
                <w:rFonts w:eastAsia="Arial"/>
                <w:b/>
                <w:bCs/>
              </w:rPr>
              <w:t>An explanation is provided.</w:t>
            </w:r>
          </w:p>
          <w:p w14:paraId="7CE73F46" w14:textId="77777777" w:rsidR="001A63F3" w:rsidRPr="00AA5869" w:rsidRDefault="001A63F3" w:rsidP="001A63F3">
            <w:pPr>
              <w:pStyle w:val="paragraph"/>
              <w:spacing w:before="0" w:beforeAutospacing="0" w:after="0" w:afterAutospacing="0"/>
              <w:jc w:val="both"/>
              <w:textAlignment w:val="baseline"/>
              <w:rPr>
                <w:rStyle w:val="normaltextrun"/>
                <w:rFonts w:eastAsia="Arial"/>
              </w:rPr>
            </w:pPr>
            <w:r>
              <w:rPr>
                <w:rStyle w:val="normaltextrun"/>
                <w:rFonts w:eastAsia="Arial"/>
              </w:rPr>
              <w:t>The requirements apply to Article 3 of this document.</w:t>
            </w:r>
          </w:p>
          <w:p w14:paraId="18BC07BE" w14:textId="77777777" w:rsidR="001A63F3" w:rsidRPr="000F1AB7" w:rsidRDefault="001A63F3" w:rsidP="001A63F3">
            <w:pPr>
              <w:pStyle w:val="NormalWeb"/>
              <w:jc w:val="both"/>
              <w:rPr>
                <w:rStyle w:val="Strong"/>
                <w:rFonts w:eastAsiaTheme="majorEastAsia"/>
                <w:lang w:val="lt-LT"/>
              </w:rPr>
            </w:pPr>
          </w:p>
        </w:tc>
      </w:tr>
      <w:tr w:rsidR="001A63F3" w:rsidRPr="000F1AB7" w14:paraId="69111334" w14:textId="77777777"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416FAE16" w14:textId="3B4B1FA1" w:rsidR="001A63F3" w:rsidRPr="000F1AB7" w:rsidRDefault="001A63F3" w:rsidP="001A63F3">
            <w:pPr>
              <w:pStyle w:val="paragraph"/>
              <w:spacing w:before="0" w:beforeAutospacing="0" w:after="0" w:afterAutospacing="0"/>
              <w:jc w:val="center"/>
              <w:textAlignment w:val="baseline"/>
              <w:rPr>
                <w:rStyle w:val="normaltextrun"/>
                <w:rFonts w:eastAsia="Arial"/>
                <w:kern w:val="2"/>
                <w14:ligatures w14:val="standardContextual"/>
              </w:rPr>
            </w:pPr>
            <w:r w:rsidRPr="00C630E2">
              <w:rPr>
                <w:rStyle w:val="normaltextrun"/>
                <w:rFonts w:eastAsia="Arial"/>
                <w:kern w:val="2"/>
                <w14:ligatures w14:val="standardContextual"/>
              </w:rPr>
              <w:t>R8 Energy OÜ</w:t>
            </w:r>
          </w:p>
        </w:tc>
        <w:tc>
          <w:tcPr>
            <w:tcW w:w="2035" w:type="pct"/>
            <w:tcBorders>
              <w:top w:val="single" w:sz="4" w:space="0" w:color="auto"/>
              <w:left w:val="single" w:sz="4" w:space="0" w:color="auto"/>
              <w:bottom w:val="single" w:sz="4" w:space="0" w:color="auto"/>
              <w:right w:val="single" w:sz="4" w:space="0" w:color="auto"/>
            </w:tcBorders>
          </w:tcPr>
          <w:p w14:paraId="79E1E0BD" w14:textId="7D6FB08A"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C630E2">
              <w:rPr>
                <w:rStyle w:val="normaltextrun"/>
                <w:rFonts w:eastAsia="Arial"/>
                <w:kern w:val="2"/>
                <w14:ligatures w14:val="standardContextual"/>
              </w:rPr>
              <w:t>Does this article apply only to RPUs and not to RPGs (according to the definition, RPG does not need to consist of RPUs)?</w:t>
            </w:r>
          </w:p>
        </w:tc>
        <w:tc>
          <w:tcPr>
            <w:tcW w:w="1918" w:type="pct"/>
            <w:tcBorders>
              <w:top w:val="single" w:sz="4" w:space="0" w:color="auto"/>
              <w:left w:val="single" w:sz="4" w:space="0" w:color="auto"/>
              <w:bottom w:val="single" w:sz="4" w:space="0" w:color="auto"/>
              <w:right w:val="single" w:sz="4" w:space="0" w:color="auto"/>
            </w:tcBorders>
          </w:tcPr>
          <w:p w14:paraId="311E0E23" w14:textId="492D17A9" w:rsidR="001A63F3" w:rsidRPr="00B364B7" w:rsidRDefault="001A63F3" w:rsidP="001A63F3">
            <w:pPr>
              <w:pStyle w:val="paragraph"/>
              <w:spacing w:before="0" w:beforeAutospacing="0" w:after="0" w:afterAutospacing="0"/>
              <w:jc w:val="both"/>
              <w:textAlignment w:val="baseline"/>
              <w:rPr>
                <w:rStyle w:val="normaltextrun"/>
                <w:rFonts w:eastAsia="Arial"/>
                <w:kern w:val="2"/>
                <w:lang w:val="en-US"/>
                <w14:ligatures w14:val="standardContextual"/>
              </w:rPr>
            </w:pPr>
            <w:r w:rsidRPr="47138871">
              <w:rPr>
                <w:rStyle w:val="normaltextrun"/>
                <w:rFonts w:eastAsia="Arial"/>
                <w:kern w:val="2"/>
                <w:lang w:val="en-US"/>
                <w14:ligatures w14:val="standardContextual"/>
              </w:rPr>
              <w:t>T</w:t>
            </w:r>
            <w:r w:rsidRPr="00C630E2">
              <w:rPr>
                <w:rStyle w:val="normaltextrun"/>
                <w:rFonts w:eastAsia="Arial"/>
                <w:kern w:val="2"/>
                <w:lang w:val="en-US"/>
                <w14:ligatures w14:val="standardContextual"/>
              </w:rPr>
              <w:t>he Article applies to Reserve Units which may be single Reserve Providing Units or Reserve Providing Group. For the RPG-s the requireme</w:t>
            </w:r>
            <w:r w:rsidRPr="47138871">
              <w:rPr>
                <w:rStyle w:val="normaltextrun"/>
                <w:rFonts w:eastAsia="Arial"/>
                <w:kern w:val="2"/>
                <w:lang w:val="en-US"/>
                <w14:ligatures w14:val="standardContextual"/>
              </w:rPr>
              <w:t>nts apply based on the connection agreement and type of the power module.</w:t>
            </w:r>
          </w:p>
        </w:tc>
      </w:tr>
      <w:tr w:rsidR="001A63F3" w:rsidRPr="000F1AB7" w14:paraId="6D560712" w14:textId="77777777" w:rsidTr="001A63F3">
        <w:trPr>
          <w:trHeight w:val="283"/>
        </w:trPr>
        <w:tc>
          <w:tcPr>
            <w:tcW w:w="1047" w:type="pct"/>
            <w:tcBorders>
              <w:top w:val="single" w:sz="4" w:space="0" w:color="auto"/>
              <w:left w:val="single" w:sz="4" w:space="0" w:color="auto"/>
              <w:bottom w:val="single" w:sz="4" w:space="0" w:color="auto"/>
              <w:right w:val="single" w:sz="4" w:space="0" w:color="auto"/>
            </w:tcBorders>
            <w:vAlign w:val="center"/>
          </w:tcPr>
          <w:p w14:paraId="3F83FBBC" w14:textId="4C093A41" w:rsidR="001A63F3" w:rsidRPr="000F1AB7" w:rsidRDefault="001A63F3" w:rsidP="001A63F3">
            <w:pPr>
              <w:pStyle w:val="paragraph"/>
              <w:spacing w:before="0" w:beforeAutospacing="0" w:after="0" w:afterAutospacing="0"/>
              <w:jc w:val="center"/>
              <w:textAlignment w:val="baseline"/>
              <w:rPr>
                <w:rStyle w:val="normaltextrun"/>
                <w:rFonts w:eastAsia="Arial"/>
                <w:kern w:val="2"/>
                <w14:ligatures w14:val="standardContextual"/>
              </w:rPr>
            </w:pPr>
            <w:r w:rsidRPr="00C630E2">
              <w:rPr>
                <w:rStyle w:val="normaltextrun"/>
                <w:rFonts w:eastAsia="Arial"/>
                <w:kern w:val="2"/>
                <w14:ligatures w14:val="standardContextual"/>
              </w:rPr>
              <w:t>R8 Energy OÜ</w:t>
            </w:r>
          </w:p>
        </w:tc>
        <w:tc>
          <w:tcPr>
            <w:tcW w:w="2035" w:type="pct"/>
            <w:tcBorders>
              <w:top w:val="single" w:sz="4" w:space="0" w:color="auto"/>
              <w:left w:val="single" w:sz="4" w:space="0" w:color="auto"/>
              <w:bottom w:val="single" w:sz="4" w:space="0" w:color="auto"/>
              <w:right w:val="single" w:sz="4" w:space="0" w:color="auto"/>
            </w:tcBorders>
          </w:tcPr>
          <w:p w14:paraId="260B3786" w14:textId="40D4A66D" w:rsidR="001A63F3" w:rsidRPr="000F1AB7" w:rsidRDefault="001A63F3" w:rsidP="001A63F3">
            <w:pPr>
              <w:pStyle w:val="paragraph"/>
              <w:spacing w:before="0" w:beforeAutospacing="0" w:after="0" w:afterAutospacing="0"/>
              <w:jc w:val="both"/>
              <w:textAlignment w:val="baseline"/>
              <w:rPr>
                <w:rStyle w:val="normaltextrun"/>
                <w:rFonts w:eastAsia="Arial"/>
                <w:kern w:val="2"/>
                <w14:ligatures w14:val="standardContextual"/>
              </w:rPr>
            </w:pPr>
            <w:r w:rsidRPr="00C630E2">
              <w:rPr>
                <w:rStyle w:val="normaltextrun"/>
                <w:rFonts w:eastAsia="Arial"/>
                <w:kern w:val="2"/>
                <w14:ligatures w14:val="standardContextual"/>
              </w:rPr>
              <w:t>The meaning of “unlimited operation” is not clear. The time of operation is product-specific, isn’t it?</w:t>
            </w:r>
          </w:p>
        </w:tc>
        <w:tc>
          <w:tcPr>
            <w:tcW w:w="1918" w:type="pct"/>
            <w:tcBorders>
              <w:top w:val="single" w:sz="4" w:space="0" w:color="auto"/>
              <w:left w:val="single" w:sz="4" w:space="0" w:color="auto"/>
              <w:bottom w:val="single" w:sz="4" w:space="0" w:color="auto"/>
              <w:right w:val="single" w:sz="4" w:space="0" w:color="auto"/>
            </w:tcBorders>
          </w:tcPr>
          <w:p w14:paraId="05FA45D7" w14:textId="6D0B340C" w:rsidR="001A63F3" w:rsidRPr="009A0475" w:rsidRDefault="001A63F3" w:rsidP="001A63F3">
            <w:pPr>
              <w:pStyle w:val="paragraph"/>
              <w:spacing w:before="0" w:beforeAutospacing="0" w:after="0" w:afterAutospacing="0"/>
              <w:jc w:val="both"/>
              <w:textAlignment w:val="baseline"/>
              <w:rPr>
                <w:rStyle w:val="normaltextrun"/>
                <w:rFonts w:eastAsia="Arial"/>
                <w:kern w:val="2"/>
                <w:lang w:val="en-US"/>
                <w14:ligatures w14:val="standardContextual"/>
              </w:rPr>
            </w:pPr>
            <w:r w:rsidRPr="47138871">
              <w:rPr>
                <w:rStyle w:val="normaltextrun"/>
                <w:rFonts w:eastAsia="Arial"/>
                <w:kern w:val="2"/>
                <w:lang w:val="en-US"/>
                <w14:ligatures w14:val="standardContextual"/>
              </w:rPr>
              <w:t xml:space="preserve">In accordance </w:t>
            </w:r>
            <w:proofErr w:type="gramStart"/>
            <w:r w:rsidRPr="47138871">
              <w:rPr>
                <w:rStyle w:val="normaltextrun"/>
                <w:rFonts w:eastAsia="Arial"/>
                <w:kern w:val="2"/>
                <w:lang w:val="en-US"/>
                <w14:ligatures w14:val="standardContextual"/>
              </w:rPr>
              <w:t>to</w:t>
            </w:r>
            <w:proofErr w:type="gramEnd"/>
            <w:r w:rsidRPr="47138871">
              <w:rPr>
                <w:rStyle w:val="normaltextrun"/>
                <w:rFonts w:eastAsia="Arial"/>
                <w:kern w:val="2"/>
                <w:lang w:val="en-US"/>
                <w14:ligatures w14:val="standardContextual"/>
              </w:rPr>
              <w:t xml:space="preserve"> </w:t>
            </w:r>
            <w:proofErr w:type="spellStart"/>
            <w:r w:rsidRPr="47138871">
              <w:rPr>
                <w:rStyle w:val="normaltextrun"/>
                <w:rFonts w:eastAsia="Arial"/>
                <w:kern w:val="2"/>
                <w:lang w:val="en-US"/>
                <w14:ligatures w14:val="standardContextual"/>
              </w:rPr>
              <w:t>RfG</w:t>
            </w:r>
            <w:proofErr w:type="spellEnd"/>
            <w:r w:rsidRPr="47138871">
              <w:rPr>
                <w:rStyle w:val="normaltextrun"/>
                <w:rFonts w:eastAsia="Arial"/>
                <w:kern w:val="2"/>
                <w:lang w:val="en-US"/>
                <w14:ligatures w14:val="standardContextual"/>
              </w:rPr>
              <w:t xml:space="preserve"> Chapter 1 Articles it is required that power generating modules need to be cap</w:t>
            </w:r>
            <w:r w:rsidRPr="47138871">
              <w:rPr>
                <w:rStyle w:val="normaltextrun"/>
                <w:rFonts w:eastAsia="Arial"/>
                <w:lang w:val="en-US"/>
              </w:rPr>
              <w:t>a</w:t>
            </w:r>
            <w:r w:rsidRPr="47138871">
              <w:rPr>
                <w:rStyle w:val="normaltextrun"/>
                <w:rFonts w:eastAsia="Arial"/>
                <w:kern w:val="2"/>
                <w:lang w:val="en-US"/>
                <w14:ligatures w14:val="standardContextual"/>
              </w:rPr>
              <w:t xml:space="preserve">ble of operating unlimited time period when the frequency is in the range of 49.0 Hz to 51,0 Hz. </w:t>
            </w:r>
            <w:proofErr w:type="gramStart"/>
            <w:r w:rsidRPr="47138871">
              <w:rPr>
                <w:rStyle w:val="normaltextrun"/>
                <w:rFonts w:eastAsia="Arial"/>
                <w:kern w:val="2"/>
                <w:lang w:val="en-US"/>
                <w14:ligatures w14:val="standardContextual"/>
              </w:rPr>
              <w:t>This  requirement</w:t>
            </w:r>
            <w:proofErr w:type="gramEnd"/>
            <w:r w:rsidRPr="47138871">
              <w:rPr>
                <w:rStyle w:val="normaltextrun"/>
                <w:rFonts w:eastAsia="Arial"/>
                <w:kern w:val="2"/>
                <w:lang w:val="en-US"/>
                <w14:ligatures w14:val="standardContextual"/>
              </w:rPr>
              <w:t xml:space="preserve"> is not referring to any service Reserve Unit is providing.</w:t>
            </w:r>
          </w:p>
        </w:tc>
      </w:tr>
    </w:tbl>
    <w:p w14:paraId="76325C0E" w14:textId="76BD520A" w:rsidR="00406DB7" w:rsidRPr="000F1AB7" w:rsidRDefault="00406DB7" w:rsidP="00B44EDD">
      <w:pPr>
        <w:jc w:val="both"/>
        <w:rPr>
          <w:rFonts w:cs="Times New Roman"/>
          <w:b/>
          <w:bCs/>
          <w:caps/>
          <w:szCs w:val="24"/>
          <w:lang w:val="lt-LT"/>
        </w:rPr>
      </w:pPr>
    </w:p>
    <w:p w14:paraId="404A5FCE" w14:textId="77777777" w:rsidR="0067392E" w:rsidRPr="000F1AB7" w:rsidRDefault="0067392E" w:rsidP="00B44EDD">
      <w:pPr>
        <w:jc w:val="both"/>
        <w:rPr>
          <w:rFonts w:cs="Times New Roman"/>
          <w:b/>
          <w:bCs/>
          <w:caps/>
          <w:szCs w:val="24"/>
          <w:lang w:val="lt-LT"/>
        </w:rPr>
      </w:pPr>
    </w:p>
    <w:sectPr w:rsidR="0067392E" w:rsidRPr="000F1AB7" w:rsidSect="00406DB7">
      <w:pgSz w:w="15840" w:h="12240" w:orient="landscape"/>
      <w:pgMar w:top="992"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563E6"/>
    <w:multiLevelType w:val="multilevel"/>
    <w:tmpl w:val="89DA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8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B7"/>
    <w:rsid w:val="0000624C"/>
    <w:rsid w:val="00006C43"/>
    <w:rsid w:val="00014725"/>
    <w:rsid w:val="000275E3"/>
    <w:rsid w:val="00073FEE"/>
    <w:rsid w:val="00075A18"/>
    <w:rsid w:val="000A4FE7"/>
    <w:rsid w:val="000B1279"/>
    <w:rsid w:val="000C1EA5"/>
    <w:rsid w:val="000C48A1"/>
    <w:rsid w:val="000F1AB7"/>
    <w:rsid w:val="00102BB4"/>
    <w:rsid w:val="001143B4"/>
    <w:rsid w:val="0012461D"/>
    <w:rsid w:val="00136AD0"/>
    <w:rsid w:val="00147800"/>
    <w:rsid w:val="0018350B"/>
    <w:rsid w:val="0018454E"/>
    <w:rsid w:val="001848C6"/>
    <w:rsid w:val="001A63F3"/>
    <w:rsid w:val="001B3D48"/>
    <w:rsid w:val="001B3F37"/>
    <w:rsid w:val="001D4B3E"/>
    <w:rsid w:val="001E7870"/>
    <w:rsid w:val="002006E7"/>
    <w:rsid w:val="002116A3"/>
    <w:rsid w:val="00233D76"/>
    <w:rsid w:val="002C1FEB"/>
    <w:rsid w:val="002F0E1B"/>
    <w:rsid w:val="002F59A5"/>
    <w:rsid w:val="002F6651"/>
    <w:rsid w:val="00301F36"/>
    <w:rsid w:val="003071D6"/>
    <w:rsid w:val="00321BDA"/>
    <w:rsid w:val="00354A11"/>
    <w:rsid w:val="003A3D25"/>
    <w:rsid w:val="003B680B"/>
    <w:rsid w:val="003B760E"/>
    <w:rsid w:val="003F20C2"/>
    <w:rsid w:val="003F6CB0"/>
    <w:rsid w:val="00406DB7"/>
    <w:rsid w:val="00445728"/>
    <w:rsid w:val="004A3A45"/>
    <w:rsid w:val="004A3C82"/>
    <w:rsid w:val="004A75E9"/>
    <w:rsid w:val="004B1DF1"/>
    <w:rsid w:val="004C16E3"/>
    <w:rsid w:val="004C3854"/>
    <w:rsid w:val="004D70A9"/>
    <w:rsid w:val="00511548"/>
    <w:rsid w:val="0052D420"/>
    <w:rsid w:val="0058642E"/>
    <w:rsid w:val="005879E1"/>
    <w:rsid w:val="00590B68"/>
    <w:rsid w:val="005D7E7F"/>
    <w:rsid w:val="005F2C91"/>
    <w:rsid w:val="006009D8"/>
    <w:rsid w:val="00620BA2"/>
    <w:rsid w:val="006513BF"/>
    <w:rsid w:val="00657E68"/>
    <w:rsid w:val="0067392E"/>
    <w:rsid w:val="006963A2"/>
    <w:rsid w:val="006A4610"/>
    <w:rsid w:val="006C1771"/>
    <w:rsid w:val="006E26BA"/>
    <w:rsid w:val="00707489"/>
    <w:rsid w:val="00715630"/>
    <w:rsid w:val="00735ADA"/>
    <w:rsid w:val="00751FCE"/>
    <w:rsid w:val="007542A1"/>
    <w:rsid w:val="00766B10"/>
    <w:rsid w:val="00766DAD"/>
    <w:rsid w:val="007A2DDF"/>
    <w:rsid w:val="007A63FB"/>
    <w:rsid w:val="007B4172"/>
    <w:rsid w:val="007C5171"/>
    <w:rsid w:val="007C7BD0"/>
    <w:rsid w:val="007D349D"/>
    <w:rsid w:val="007D47D9"/>
    <w:rsid w:val="007E08C4"/>
    <w:rsid w:val="00811FFA"/>
    <w:rsid w:val="008251E8"/>
    <w:rsid w:val="00831A4C"/>
    <w:rsid w:val="0086544D"/>
    <w:rsid w:val="00873E37"/>
    <w:rsid w:val="008764BA"/>
    <w:rsid w:val="00884B57"/>
    <w:rsid w:val="008B3927"/>
    <w:rsid w:val="008B3FE7"/>
    <w:rsid w:val="008C2DAF"/>
    <w:rsid w:val="009750C9"/>
    <w:rsid w:val="009A0475"/>
    <w:rsid w:val="009C498A"/>
    <w:rsid w:val="009D3F19"/>
    <w:rsid w:val="00A65116"/>
    <w:rsid w:val="00A8596F"/>
    <w:rsid w:val="00A87DB2"/>
    <w:rsid w:val="00AA182D"/>
    <w:rsid w:val="00AA5869"/>
    <w:rsid w:val="00AC635B"/>
    <w:rsid w:val="00B118AC"/>
    <w:rsid w:val="00B15B7B"/>
    <w:rsid w:val="00B364B7"/>
    <w:rsid w:val="00B367DB"/>
    <w:rsid w:val="00B44EDD"/>
    <w:rsid w:val="00B92C3C"/>
    <w:rsid w:val="00BA1496"/>
    <w:rsid w:val="00BC1158"/>
    <w:rsid w:val="00BD044D"/>
    <w:rsid w:val="00BE60DE"/>
    <w:rsid w:val="00BF25FF"/>
    <w:rsid w:val="00C108BF"/>
    <w:rsid w:val="00C272A8"/>
    <w:rsid w:val="00C551E9"/>
    <w:rsid w:val="00C60738"/>
    <w:rsid w:val="00C630E2"/>
    <w:rsid w:val="00C65D73"/>
    <w:rsid w:val="00CB4255"/>
    <w:rsid w:val="00CC17D8"/>
    <w:rsid w:val="00CC7460"/>
    <w:rsid w:val="00CD700E"/>
    <w:rsid w:val="00D011F4"/>
    <w:rsid w:val="00D17883"/>
    <w:rsid w:val="00D627F0"/>
    <w:rsid w:val="00D70218"/>
    <w:rsid w:val="00D837A5"/>
    <w:rsid w:val="00D94246"/>
    <w:rsid w:val="00D9613B"/>
    <w:rsid w:val="00DA1B82"/>
    <w:rsid w:val="00DB5434"/>
    <w:rsid w:val="00DF72E8"/>
    <w:rsid w:val="00E00890"/>
    <w:rsid w:val="00E046DC"/>
    <w:rsid w:val="00E24F7E"/>
    <w:rsid w:val="00E42008"/>
    <w:rsid w:val="00E60BE3"/>
    <w:rsid w:val="00EB27A0"/>
    <w:rsid w:val="00EF2731"/>
    <w:rsid w:val="00F713EB"/>
    <w:rsid w:val="00F75392"/>
    <w:rsid w:val="00F84A26"/>
    <w:rsid w:val="00FA344D"/>
    <w:rsid w:val="00FB1E4E"/>
    <w:rsid w:val="04CAE448"/>
    <w:rsid w:val="072D40D9"/>
    <w:rsid w:val="0B53CE10"/>
    <w:rsid w:val="1477951A"/>
    <w:rsid w:val="16B1F98D"/>
    <w:rsid w:val="18E7228A"/>
    <w:rsid w:val="1C9E2F32"/>
    <w:rsid w:val="23EBA712"/>
    <w:rsid w:val="27514CF1"/>
    <w:rsid w:val="27DBA14E"/>
    <w:rsid w:val="2E2C78DF"/>
    <w:rsid w:val="31B19398"/>
    <w:rsid w:val="31D76DE6"/>
    <w:rsid w:val="384859C0"/>
    <w:rsid w:val="3EA84D7A"/>
    <w:rsid w:val="45C74AC6"/>
    <w:rsid w:val="47138871"/>
    <w:rsid w:val="48F6FAA3"/>
    <w:rsid w:val="4FE9509D"/>
    <w:rsid w:val="57EB1019"/>
    <w:rsid w:val="5886A162"/>
    <w:rsid w:val="60E2E61D"/>
    <w:rsid w:val="60E693FA"/>
    <w:rsid w:val="64A3B6AA"/>
    <w:rsid w:val="68244573"/>
    <w:rsid w:val="695DFF70"/>
    <w:rsid w:val="7BC1D0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7D85"/>
  <w15:chartTrackingRefBased/>
  <w15:docId w15:val="{80789118-F5BD-4970-B4C8-8939B54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B7"/>
    <w:rPr>
      <w:rFonts w:ascii="Times New Roman" w:hAnsi="Times New Roman" w:cs="Vrinda"/>
      <w:sz w:val="24"/>
    </w:rPr>
  </w:style>
  <w:style w:type="paragraph" w:styleId="Heading1">
    <w:name w:val="heading 1"/>
    <w:basedOn w:val="Normal"/>
    <w:next w:val="Normal"/>
    <w:link w:val="Heading1Char"/>
    <w:uiPriority w:val="9"/>
    <w:qFormat/>
    <w:rsid w:val="00406DB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06DB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06DB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06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B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06DB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06DB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0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DB7"/>
    <w:rPr>
      <w:rFonts w:eastAsiaTheme="majorEastAsia" w:cstheme="majorBidi"/>
      <w:color w:val="272727" w:themeColor="text1" w:themeTint="D8"/>
    </w:rPr>
  </w:style>
  <w:style w:type="paragraph" w:styleId="Title">
    <w:name w:val="Title"/>
    <w:basedOn w:val="Normal"/>
    <w:next w:val="Normal"/>
    <w:link w:val="TitleChar"/>
    <w:uiPriority w:val="10"/>
    <w:qFormat/>
    <w:rsid w:val="00406DB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6D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6D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6D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06DB7"/>
    <w:pPr>
      <w:spacing w:before="160"/>
      <w:jc w:val="center"/>
    </w:pPr>
    <w:rPr>
      <w:i/>
      <w:iCs/>
      <w:color w:val="404040" w:themeColor="text1" w:themeTint="BF"/>
    </w:rPr>
  </w:style>
  <w:style w:type="character" w:customStyle="1" w:styleId="QuoteChar">
    <w:name w:val="Quote Char"/>
    <w:basedOn w:val="DefaultParagraphFont"/>
    <w:link w:val="Quote"/>
    <w:uiPriority w:val="29"/>
    <w:rsid w:val="00406DB7"/>
    <w:rPr>
      <w:rFonts w:cs="Vrinda"/>
      <w:i/>
      <w:iCs/>
      <w:color w:val="404040" w:themeColor="text1" w:themeTint="BF"/>
    </w:rPr>
  </w:style>
  <w:style w:type="paragraph" w:styleId="ListParagraph">
    <w:name w:val="List Paragraph"/>
    <w:basedOn w:val="Normal"/>
    <w:uiPriority w:val="34"/>
    <w:qFormat/>
    <w:rsid w:val="00406DB7"/>
    <w:pPr>
      <w:ind w:left="720"/>
      <w:contextualSpacing/>
    </w:pPr>
  </w:style>
  <w:style w:type="character" w:styleId="IntenseEmphasis">
    <w:name w:val="Intense Emphasis"/>
    <w:basedOn w:val="DefaultParagraphFont"/>
    <w:uiPriority w:val="21"/>
    <w:qFormat/>
    <w:rsid w:val="00406DB7"/>
    <w:rPr>
      <w:i/>
      <w:iCs/>
      <w:color w:val="0F4761" w:themeColor="accent1" w:themeShade="BF"/>
    </w:rPr>
  </w:style>
  <w:style w:type="paragraph" w:styleId="IntenseQuote">
    <w:name w:val="Intense Quote"/>
    <w:basedOn w:val="Normal"/>
    <w:next w:val="Normal"/>
    <w:link w:val="IntenseQuoteChar"/>
    <w:uiPriority w:val="30"/>
    <w:qFormat/>
    <w:rsid w:val="0040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DB7"/>
    <w:rPr>
      <w:rFonts w:cs="Vrinda"/>
      <w:i/>
      <w:iCs/>
      <w:color w:val="0F4761" w:themeColor="accent1" w:themeShade="BF"/>
    </w:rPr>
  </w:style>
  <w:style w:type="character" w:styleId="IntenseReference">
    <w:name w:val="Intense Reference"/>
    <w:basedOn w:val="DefaultParagraphFont"/>
    <w:uiPriority w:val="32"/>
    <w:qFormat/>
    <w:rsid w:val="00406DB7"/>
    <w:rPr>
      <w:b/>
      <w:bCs/>
      <w:smallCaps/>
      <w:color w:val="0F4761" w:themeColor="accent1" w:themeShade="BF"/>
      <w:spacing w:val="5"/>
    </w:rPr>
  </w:style>
  <w:style w:type="paragraph" w:customStyle="1" w:styleId="paragraph">
    <w:name w:val="paragraph"/>
    <w:basedOn w:val="Normal"/>
    <w:rsid w:val="00406DB7"/>
    <w:pPr>
      <w:spacing w:before="100" w:beforeAutospacing="1" w:after="100" w:afterAutospacing="1" w:line="240" w:lineRule="auto"/>
    </w:pPr>
    <w:rPr>
      <w:rFonts w:eastAsia="Times New Roman" w:cs="Times New Roman"/>
      <w:kern w:val="0"/>
      <w:szCs w:val="24"/>
      <w:lang w:val="lt-LT" w:bidi="ar-SA"/>
      <w14:ligatures w14:val="none"/>
    </w:rPr>
  </w:style>
  <w:style w:type="character" w:customStyle="1" w:styleId="normaltextrun">
    <w:name w:val="normaltextrun"/>
    <w:basedOn w:val="DefaultParagraphFont"/>
    <w:rsid w:val="00406DB7"/>
  </w:style>
  <w:style w:type="table" w:styleId="TableGrid">
    <w:name w:val="Table Grid"/>
    <w:basedOn w:val="TableNormal"/>
    <w:uiPriority w:val="39"/>
    <w:rsid w:val="00406DB7"/>
    <w:pPr>
      <w:spacing w:after="0" w:line="240" w:lineRule="auto"/>
    </w:pPr>
    <w:rPr>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8642E"/>
    <w:pPr>
      <w:spacing w:before="100" w:beforeAutospacing="1" w:after="100" w:afterAutospacing="1" w:line="240" w:lineRule="auto"/>
    </w:pPr>
    <w:rPr>
      <w:rFonts w:eastAsia="Times New Roman" w:cs="Times New Roman"/>
      <w:kern w:val="0"/>
      <w:szCs w:val="24"/>
      <w:lang w:bidi="ar-SA"/>
      <w14:ligatures w14:val="none"/>
    </w:rPr>
  </w:style>
  <w:style w:type="paragraph" w:customStyle="1" w:styleId="xmsolistparagraph">
    <w:name w:val="x_msolistparagraph"/>
    <w:basedOn w:val="Normal"/>
    <w:rsid w:val="0058642E"/>
    <w:pPr>
      <w:spacing w:before="100" w:beforeAutospacing="1" w:after="100" w:afterAutospacing="1" w:line="240" w:lineRule="auto"/>
    </w:pPr>
    <w:rPr>
      <w:rFonts w:eastAsia="Times New Roman" w:cs="Times New Roman"/>
      <w:kern w:val="0"/>
      <w:szCs w:val="24"/>
      <w:lang w:bidi="ar-SA"/>
      <w14:ligatures w14:val="none"/>
    </w:rPr>
  </w:style>
  <w:style w:type="paragraph" w:styleId="NormalWeb">
    <w:name w:val="Normal (Web)"/>
    <w:basedOn w:val="Normal"/>
    <w:uiPriority w:val="99"/>
    <w:semiHidden/>
    <w:unhideWhenUsed/>
    <w:rsid w:val="007542A1"/>
    <w:pPr>
      <w:spacing w:before="100" w:beforeAutospacing="1" w:after="100" w:afterAutospacing="1" w:line="240" w:lineRule="auto"/>
    </w:pPr>
    <w:rPr>
      <w:rFonts w:eastAsia="Times New Roman" w:cs="Times New Roman"/>
      <w:kern w:val="0"/>
      <w:szCs w:val="24"/>
      <w:lang w:bidi="ar-SA"/>
      <w14:ligatures w14:val="none"/>
    </w:rPr>
  </w:style>
  <w:style w:type="paragraph" w:styleId="Revision">
    <w:name w:val="Revision"/>
    <w:hidden/>
    <w:uiPriority w:val="99"/>
    <w:semiHidden/>
    <w:rsid w:val="009D3F19"/>
    <w:pPr>
      <w:spacing w:after="0" w:line="240" w:lineRule="auto"/>
    </w:pPr>
    <w:rPr>
      <w:rFonts w:ascii="Times New Roman" w:hAnsi="Times New Roman" w:cs="Vrinda"/>
      <w:sz w:val="24"/>
    </w:rPr>
  </w:style>
  <w:style w:type="character" w:styleId="Strong">
    <w:name w:val="Strong"/>
    <w:basedOn w:val="DefaultParagraphFont"/>
    <w:uiPriority w:val="22"/>
    <w:qFormat/>
    <w:rsid w:val="00B44EDD"/>
    <w:rPr>
      <w:b/>
      <w:bCs/>
    </w:rPr>
  </w:style>
  <w:style w:type="character" w:styleId="Hyperlink">
    <w:name w:val="Hyperlink"/>
    <w:basedOn w:val="DefaultParagraphFont"/>
    <w:uiPriority w:val="99"/>
    <w:unhideWhenUsed/>
    <w:rsid w:val="000F1AB7"/>
    <w:rPr>
      <w:color w:val="467886" w:themeColor="hyperlink"/>
      <w:u w:val="single"/>
    </w:rPr>
  </w:style>
  <w:style w:type="character" w:styleId="CommentReference">
    <w:name w:val="annotation reference"/>
    <w:basedOn w:val="DefaultParagraphFont"/>
    <w:uiPriority w:val="99"/>
    <w:semiHidden/>
    <w:unhideWhenUsed/>
    <w:rsid w:val="00884B57"/>
    <w:rPr>
      <w:sz w:val="16"/>
      <w:szCs w:val="16"/>
    </w:rPr>
  </w:style>
  <w:style w:type="paragraph" w:styleId="CommentText">
    <w:name w:val="annotation text"/>
    <w:basedOn w:val="Normal"/>
    <w:link w:val="CommentTextChar"/>
    <w:uiPriority w:val="99"/>
    <w:unhideWhenUsed/>
    <w:rsid w:val="00884B57"/>
    <w:pPr>
      <w:spacing w:line="240" w:lineRule="auto"/>
    </w:pPr>
    <w:rPr>
      <w:sz w:val="20"/>
      <w:szCs w:val="25"/>
    </w:rPr>
  </w:style>
  <w:style w:type="character" w:customStyle="1" w:styleId="CommentTextChar">
    <w:name w:val="Comment Text Char"/>
    <w:basedOn w:val="DefaultParagraphFont"/>
    <w:link w:val="CommentText"/>
    <w:uiPriority w:val="99"/>
    <w:rsid w:val="00884B57"/>
    <w:rPr>
      <w:rFonts w:ascii="Times New Roman" w:hAnsi="Times New Roman" w:cs="Vrinda"/>
      <w:sz w:val="20"/>
      <w:szCs w:val="25"/>
    </w:rPr>
  </w:style>
  <w:style w:type="paragraph" w:styleId="CommentSubject">
    <w:name w:val="annotation subject"/>
    <w:basedOn w:val="CommentText"/>
    <w:next w:val="CommentText"/>
    <w:link w:val="CommentSubjectChar"/>
    <w:uiPriority w:val="99"/>
    <w:semiHidden/>
    <w:unhideWhenUsed/>
    <w:rsid w:val="00884B57"/>
    <w:rPr>
      <w:b/>
      <w:bCs/>
    </w:rPr>
  </w:style>
  <w:style w:type="character" w:customStyle="1" w:styleId="CommentSubjectChar">
    <w:name w:val="Comment Subject Char"/>
    <w:basedOn w:val="CommentTextChar"/>
    <w:link w:val="CommentSubject"/>
    <w:uiPriority w:val="99"/>
    <w:semiHidden/>
    <w:rsid w:val="00884B57"/>
    <w:rPr>
      <w:rFonts w:ascii="Times New Roman" w:hAnsi="Times New Roman" w:cs="Vrinda"/>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9538">
      <w:bodyDiv w:val="1"/>
      <w:marLeft w:val="0"/>
      <w:marRight w:val="0"/>
      <w:marTop w:val="0"/>
      <w:marBottom w:val="0"/>
      <w:divBdr>
        <w:top w:val="none" w:sz="0" w:space="0" w:color="auto"/>
        <w:left w:val="none" w:sz="0" w:space="0" w:color="auto"/>
        <w:bottom w:val="none" w:sz="0" w:space="0" w:color="auto"/>
        <w:right w:val="none" w:sz="0" w:space="0" w:color="auto"/>
      </w:divBdr>
    </w:div>
    <w:div w:id="189151673">
      <w:bodyDiv w:val="1"/>
      <w:marLeft w:val="0"/>
      <w:marRight w:val="0"/>
      <w:marTop w:val="0"/>
      <w:marBottom w:val="0"/>
      <w:divBdr>
        <w:top w:val="none" w:sz="0" w:space="0" w:color="auto"/>
        <w:left w:val="none" w:sz="0" w:space="0" w:color="auto"/>
        <w:bottom w:val="none" w:sz="0" w:space="0" w:color="auto"/>
        <w:right w:val="none" w:sz="0" w:space="0" w:color="auto"/>
      </w:divBdr>
    </w:div>
    <w:div w:id="655912016">
      <w:bodyDiv w:val="1"/>
      <w:marLeft w:val="0"/>
      <w:marRight w:val="0"/>
      <w:marTop w:val="0"/>
      <w:marBottom w:val="0"/>
      <w:divBdr>
        <w:top w:val="none" w:sz="0" w:space="0" w:color="auto"/>
        <w:left w:val="none" w:sz="0" w:space="0" w:color="auto"/>
        <w:bottom w:val="none" w:sz="0" w:space="0" w:color="auto"/>
        <w:right w:val="none" w:sz="0" w:space="0" w:color="auto"/>
      </w:divBdr>
    </w:div>
    <w:div w:id="856849463">
      <w:bodyDiv w:val="1"/>
      <w:marLeft w:val="0"/>
      <w:marRight w:val="0"/>
      <w:marTop w:val="0"/>
      <w:marBottom w:val="0"/>
      <w:divBdr>
        <w:top w:val="none" w:sz="0" w:space="0" w:color="auto"/>
        <w:left w:val="none" w:sz="0" w:space="0" w:color="auto"/>
        <w:bottom w:val="none" w:sz="0" w:space="0" w:color="auto"/>
        <w:right w:val="none" w:sz="0" w:space="0" w:color="auto"/>
      </w:divBdr>
    </w:div>
    <w:div w:id="958101381">
      <w:bodyDiv w:val="1"/>
      <w:marLeft w:val="0"/>
      <w:marRight w:val="0"/>
      <w:marTop w:val="0"/>
      <w:marBottom w:val="0"/>
      <w:divBdr>
        <w:top w:val="none" w:sz="0" w:space="0" w:color="auto"/>
        <w:left w:val="none" w:sz="0" w:space="0" w:color="auto"/>
        <w:bottom w:val="none" w:sz="0" w:space="0" w:color="auto"/>
        <w:right w:val="none" w:sz="0" w:space="0" w:color="auto"/>
      </w:divBdr>
    </w:div>
    <w:div w:id="979044284">
      <w:bodyDiv w:val="1"/>
      <w:marLeft w:val="0"/>
      <w:marRight w:val="0"/>
      <w:marTop w:val="0"/>
      <w:marBottom w:val="0"/>
      <w:divBdr>
        <w:top w:val="none" w:sz="0" w:space="0" w:color="auto"/>
        <w:left w:val="none" w:sz="0" w:space="0" w:color="auto"/>
        <w:bottom w:val="none" w:sz="0" w:space="0" w:color="auto"/>
        <w:right w:val="none" w:sz="0" w:space="0" w:color="auto"/>
      </w:divBdr>
    </w:div>
    <w:div w:id="1522475098">
      <w:bodyDiv w:val="1"/>
      <w:marLeft w:val="0"/>
      <w:marRight w:val="0"/>
      <w:marTop w:val="0"/>
      <w:marBottom w:val="0"/>
      <w:divBdr>
        <w:top w:val="none" w:sz="0" w:space="0" w:color="auto"/>
        <w:left w:val="none" w:sz="0" w:space="0" w:color="auto"/>
        <w:bottom w:val="none" w:sz="0" w:space="0" w:color="auto"/>
        <w:right w:val="none" w:sz="0" w:space="0" w:color="auto"/>
      </w:divBdr>
    </w:div>
    <w:div w:id="1625189398">
      <w:bodyDiv w:val="1"/>
      <w:marLeft w:val="0"/>
      <w:marRight w:val="0"/>
      <w:marTop w:val="0"/>
      <w:marBottom w:val="0"/>
      <w:divBdr>
        <w:top w:val="none" w:sz="0" w:space="0" w:color="auto"/>
        <w:left w:val="none" w:sz="0" w:space="0" w:color="auto"/>
        <w:bottom w:val="none" w:sz="0" w:space="0" w:color="auto"/>
        <w:right w:val="none" w:sz="0" w:space="0" w:color="auto"/>
      </w:divBdr>
    </w:div>
    <w:div w:id="1809974059">
      <w:bodyDiv w:val="1"/>
      <w:marLeft w:val="0"/>
      <w:marRight w:val="0"/>
      <w:marTop w:val="0"/>
      <w:marBottom w:val="0"/>
      <w:divBdr>
        <w:top w:val="none" w:sz="0" w:space="0" w:color="auto"/>
        <w:left w:val="none" w:sz="0" w:space="0" w:color="auto"/>
        <w:bottom w:val="none" w:sz="0" w:space="0" w:color="auto"/>
        <w:right w:val="none" w:sz="0" w:space="0" w:color="auto"/>
      </w:divBdr>
    </w:div>
    <w:div w:id="1868368988">
      <w:bodyDiv w:val="1"/>
      <w:marLeft w:val="0"/>
      <w:marRight w:val="0"/>
      <w:marTop w:val="0"/>
      <w:marBottom w:val="0"/>
      <w:divBdr>
        <w:top w:val="none" w:sz="0" w:space="0" w:color="auto"/>
        <w:left w:val="none" w:sz="0" w:space="0" w:color="auto"/>
        <w:bottom w:val="none" w:sz="0" w:space="0" w:color="auto"/>
        <w:right w:val="none" w:sz="0" w:space="0" w:color="auto"/>
      </w:divBdr>
    </w:div>
    <w:div w:id="1999772831">
      <w:bodyDiv w:val="1"/>
      <w:marLeft w:val="0"/>
      <w:marRight w:val="0"/>
      <w:marTop w:val="0"/>
      <w:marBottom w:val="0"/>
      <w:divBdr>
        <w:top w:val="none" w:sz="0" w:space="0" w:color="auto"/>
        <w:left w:val="none" w:sz="0" w:space="0" w:color="auto"/>
        <w:bottom w:val="none" w:sz="0" w:space="0" w:color="auto"/>
        <w:right w:val="none" w:sz="0" w:space="0" w:color="auto"/>
      </w:divBdr>
    </w:div>
    <w:div w:id="20930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aaac56f49f3fdec500c20b783d432ada">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bab01183e48c30bc50458309a4fcff94"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f1ce9ad-f26d-44c7-9c88-4eda8e9ad01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50655-5B87-4A04-BB34-D949492724C6}">
  <ds:schemaRefs>
    <ds:schemaRef ds:uri="http://schemas.microsoft.com/sharepoint/v3/contenttype/forms"/>
  </ds:schemaRefs>
</ds:datastoreItem>
</file>

<file path=customXml/itemProps2.xml><?xml version="1.0" encoding="utf-8"?>
<ds:datastoreItem xmlns:ds="http://schemas.openxmlformats.org/officeDocument/2006/customXml" ds:itemID="{2C370419-5D13-44E9-A513-F2DAF23EC96F}">
  <ds:schemaRefs>
    <ds:schemaRef ds:uri="http://schemas.openxmlformats.org/officeDocument/2006/bibliography"/>
  </ds:schemaRefs>
</ds:datastoreItem>
</file>

<file path=customXml/itemProps3.xml><?xml version="1.0" encoding="utf-8"?>
<ds:datastoreItem xmlns:ds="http://schemas.openxmlformats.org/officeDocument/2006/customXml" ds:itemID="{DEF82B30-AF50-490B-8729-A1C4EA9D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4D8DD-B493-4B8B-AC45-8B7A79F84314}">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4745</Words>
  <Characters>2706</Characters>
  <Application>Microsoft Office Word</Application>
  <DocSecurity>0</DocSecurity>
  <Lines>22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Karpavičiūtė</dc:creator>
  <cp:lastModifiedBy>Gunārs Cingels</cp:lastModifiedBy>
  <cp:revision>24</cp:revision>
  <dcterms:created xsi:type="dcterms:W3CDTF">2024-07-15T11:38:00Z</dcterms:created>
  <dcterms:modified xsi:type="dcterms:W3CDTF">2024-07-18T11:38:00Z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2024-07-02T09:58:35Z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ea75885c-606d-441b-b59c-3191126e1862</vt:lpwstr>
  </property>
  <property fmtid="{D5CDD505-2E9C-101B-9397-08002B2CF9AE}" pid="8" name="MSIP_Label_7058e6ed-1f62-4b3b-a413-1541f2aa482f_ContentBits">
    <vt:lpwstr>0</vt:lpwstr>
  </property>
  <property fmtid="{D5CDD505-2E9C-101B-9397-08002B2CF9AE}" pid="9" name="MSIP_Label_66cffd26-8a8e-4271-ae8c-0448cc98c6fa_Enabled">
    <vt:lpwstr>true</vt:lpwstr>
  </property>
  <property fmtid="{D5CDD505-2E9C-101B-9397-08002B2CF9AE}" pid="10" name="MSIP_Label_66cffd26-8a8e-4271-ae8c-0448cc98c6fa_SetDate">
    <vt:lpwstr>2024-07-16T06:15:36Z</vt:lpwstr>
  </property>
  <property fmtid="{D5CDD505-2E9C-101B-9397-08002B2CF9AE}" pid="11" name="MSIP_Label_66cffd26-8a8e-4271-ae8c-0448cc98c6fa_Method">
    <vt:lpwstr>Standard</vt:lpwstr>
  </property>
  <property fmtid="{D5CDD505-2E9C-101B-9397-08002B2CF9AE}" pid="12" name="MSIP_Label_66cffd26-8a8e-4271-ae8c-0448cc98c6fa_Name">
    <vt:lpwstr>AST dokumenti</vt:lpwstr>
  </property>
  <property fmtid="{D5CDD505-2E9C-101B-9397-08002B2CF9AE}" pid="13" name="MSIP_Label_66cffd26-8a8e-4271-ae8c-0448cc98c6fa_SiteId">
    <vt:lpwstr>c4c0dd7c-1dfb-4088-9303-96b608da35b3</vt:lpwstr>
  </property>
  <property fmtid="{D5CDD505-2E9C-101B-9397-08002B2CF9AE}" pid="14" name="MSIP_Label_66cffd26-8a8e-4271-ae8c-0448cc98c6fa_ActionId">
    <vt:lpwstr>09e4d663-6dbf-410d-8876-6abe555f3ddf</vt:lpwstr>
  </property>
  <property fmtid="{D5CDD505-2E9C-101B-9397-08002B2CF9AE}" pid="15" name="MSIP_Label_66cffd26-8a8e-4271-ae8c-0448cc98c6fa_ContentBits">
    <vt:lpwstr>0</vt:lpwstr>
  </property>
  <property fmtid="{D5CDD505-2E9C-101B-9397-08002B2CF9AE}" pid="16" name="ContentTypeId">
    <vt:lpwstr>0x010100E6CC8A0532B8C94DA5D9603AF3814BBD</vt:lpwstr>
  </property>
  <property fmtid="{D5CDD505-2E9C-101B-9397-08002B2CF9AE}" pid="17" name="MediaServiceImageTags">
    <vt:lpwstr/>
  </property>
</Properties>
</file>