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oxmlPackage1.vsdx" ContentType="application/vnd.ms-visio.drawing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302E76" w:rsidRPr="00045DB3" w:rsidP="00302E76" w14:paraId="66DFEFEA" w14:textId="77777777">
      <w:pPr>
        <w:jc w:val="center"/>
        <w:rPr>
          <w:rFonts w:cs="Times New Roman"/>
        </w:rPr>
      </w:pPr>
      <w:r w:rsidRPr="00045DB3">
        <w:rPr>
          <w:rFonts w:cs="Times New Roman"/>
          <w:b/>
          <w:sz w:val="28"/>
          <w:szCs w:val="28"/>
        </w:rPr>
        <w:t>Tehniskās un datu apmaiņas prasības rezervju nodrošināšanas vienībām</w:t>
      </w:r>
    </w:p>
    <w:p w:rsidR="00302E76" w:rsidRPr="00D40C03" w:rsidP="00302E76" w14:paraId="66DFEFEB" w14:textId="77777777">
      <w:pPr>
        <w:keepNext/>
        <w:spacing w:before="120" w:after="120" w:line="240" w:lineRule="auto"/>
        <w:ind w:left="720" w:hanging="360"/>
        <w:outlineLvl w:val="0"/>
        <w:rPr>
          <w:rFonts w:eastAsia="Times New Roman" w:cs="Times New Roman"/>
          <w:b/>
          <w:sz w:val="28"/>
          <w:szCs w:val="24"/>
        </w:rPr>
      </w:pPr>
      <w:bookmarkStart w:id="0" w:name="_Toc17711398"/>
      <w:r>
        <w:rPr>
          <w:rFonts w:eastAsia="Times New Roman" w:cs="Times New Roman"/>
          <w:b/>
          <w:sz w:val="28"/>
          <w:szCs w:val="24"/>
        </w:rPr>
        <w:t xml:space="preserve">I </w:t>
      </w:r>
      <w:r w:rsidRPr="00D40C03">
        <w:rPr>
          <w:rFonts w:eastAsia="Times New Roman" w:cs="Times New Roman"/>
          <w:b/>
          <w:sz w:val="28"/>
          <w:szCs w:val="24"/>
        </w:rPr>
        <w:t>Dokumenta mērķis</w:t>
      </w:r>
      <w:bookmarkEnd w:id="0"/>
    </w:p>
    <w:p w:rsidR="00302E76" w:rsidRPr="00045DB3" w:rsidP="00302E76" w14:paraId="66DFEFEC" w14:textId="77777777">
      <w:pPr>
        <w:numPr>
          <w:ilvl w:val="1"/>
          <w:numId w:val="2"/>
        </w:numPr>
        <w:spacing w:before="120" w:after="120" w:line="240" w:lineRule="auto"/>
        <w:jc w:val="both"/>
        <w:rPr>
          <w:rFonts w:cs="Times New Roman"/>
          <w:szCs w:val="24"/>
          <w:u w:val="single"/>
        </w:rPr>
      </w:pPr>
      <w:r w:rsidRPr="00853C9C">
        <w:rPr>
          <w:rFonts w:eastAsia="Calibri" w:cs="Times New Roman"/>
          <w:bCs/>
          <w:szCs w:val="24"/>
          <w:lang w:eastAsia="lv-LV"/>
        </w:rPr>
        <w:t xml:space="preserve">Dokumenta mērķis ir </w:t>
      </w:r>
      <w:r w:rsidRPr="00B400CE">
        <w:rPr>
          <w:rFonts w:eastAsia="Calibri" w:cs="Times New Roman"/>
          <w:bCs/>
          <w:szCs w:val="24"/>
          <w:lang w:eastAsia="lv-LV"/>
        </w:rPr>
        <w:t xml:space="preserve">noteikt </w:t>
      </w:r>
      <w:r w:rsidRPr="00045DB3">
        <w:rPr>
          <w:rFonts w:eastAsia="Calibri" w:cs="Times New Roman"/>
          <w:bCs/>
          <w:szCs w:val="24"/>
          <w:lang w:eastAsia="lv-LV"/>
        </w:rPr>
        <w:t xml:space="preserve">tehniskās un datu apmaiņas prasības rezervju nodrošināšanas vienībām saskaņā ar Sabiedrisko pakalpojumu regulēšanas komisijas 2013.gada 26.jūnija lēmuma Nr.1/4 </w:t>
      </w:r>
      <w:r w:rsidR="009A4AF6">
        <w:rPr>
          <w:rFonts w:eastAsia="Calibri" w:cs="Times New Roman"/>
          <w:bCs/>
          <w:szCs w:val="24"/>
          <w:lang w:eastAsia="lv-LV"/>
        </w:rPr>
        <w:t>"</w:t>
      </w:r>
      <w:r w:rsidRPr="00045DB3">
        <w:rPr>
          <w:rFonts w:eastAsia="Calibri" w:cs="Times New Roman"/>
          <w:bCs/>
          <w:szCs w:val="24"/>
          <w:lang w:eastAsia="lv-LV"/>
        </w:rPr>
        <w:t>Tīkla kodekss elektroenerģijas nozarē</w:t>
      </w:r>
      <w:r w:rsidR="009A4AF6">
        <w:rPr>
          <w:rFonts w:eastAsia="Calibri" w:cs="Times New Roman"/>
          <w:bCs/>
          <w:szCs w:val="24"/>
          <w:lang w:eastAsia="lv-LV"/>
        </w:rPr>
        <w:t>"</w:t>
      </w:r>
      <w:r w:rsidRPr="00045DB3">
        <w:rPr>
          <w:rFonts w:eastAsia="Calibri" w:cs="Times New Roman"/>
          <w:bCs/>
          <w:szCs w:val="24"/>
          <w:lang w:eastAsia="lv-LV"/>
        </w:rPr>
        <w:t xml:space="preserve"> (turpmāk – Tīkla kodekss) 8.pielikuma 2.3. punktu.</w:t>
      </w:r>
    </w:p>
    <w:p w:rsidR="00302E76" w:rsidRPr="00045DB3" w:rsidP="00302E76" w14:paraId="66DFEFED" w14:textId="77777777">
      <w:pPr>
        <w:numPr>
          <w:ilvl w:val="1"/>
          <w:numId w:val="2"/>
        </w:numPr>
        <w:spacing w:before="120" w:after="120" w:line="240" w:lineRule="auto"/>
        <w:jc w:val="both"/>
        <w:rPr>
          <w:rFonts w:cs="Times New Roman"/>
          <w:szCs w:val="24"/>
          <w:u w:val="single"/>
        </w:rPr>
      </w:pPr>
      <w:r>
        <w:rPr>
          <w:rFonts w:eastAsia="Calibri" w:cs="Times New Roman"/>
          <w:bCs/>
          <w:szCs w:val="24"/>
          <w:lang w:eastAsia="lv-LV"/>
        </w:rPr>
        <w:t>Dokuments nosaka prasības datu apmaiņai, p</w:t>
      </w:r>
      <w:r w:rsidRPr="00A877DD">
        <w:rPr>
          <w:rFonts w:eastAsia="Calibri" w:cs="Times New Roman"/>
          <w:bCs/>
          <w:szCs w:val="24"/>
          <w:lang w:eastAsia="lv-LV"/>
        </w:rPr>
        <w:t>rasības komercuzskaites nodrošināšanai</w:t>
      </w:r>
      <w:r>
        <w:rPr>
          <w:rFonts w:eastAsia="Calibri" w:cs="Times New Roman"/>
          <w:bCs/>
          <w:szCs w:val="24"/>
          <w:lang w:eastAsia="lv-LV"/>
        </w:rPr>
        <w:t xml:space="preserve"> un </w:t>
      </w:r>
      <w:r w:rsidRPr="00A877DD">
        <w:rPr>
          <w:rFonts w:eastAsia="Calibri" w:cs="Times New Roman"/>
          <w:bCs/>
          <w:szCs w:val="24"/>
          <w:lang w:eastAsia="lv-LV"/>
        </w:rPr>
        <w:t xml:space="preserve">AS "Augstsprieguma tīkls" (turpmāk – AST) </w:t>
      </w:r>
      <w:r>
        <w:rPr>
          <w:rFonts w:eastAsia="Calibri" w:cs="Times New Roman"/>
          <w:bCs/>
          <w:szCs w:val="24"/>
          <w:lang w:eastAsia="lv-LV"/>
        </w:rPr>
        <w:t xml:space="preserve">darbības noteikto </w:t>
      </w:r>
      <w:r w:rsidRPr="00A877DD">
        <w:rPr>
          <w:rFonts w:eastAsia="Calibri" w:cs="Times New Roman"/>
          <w:bCs/>
          <w:szCs w:val="24"/>
          <w:lang w:eastAsia="lv-LV"/>
        </w:rPr>
        <w:t>prasību atbilstības izvērtēšanai</w:t>
      </w:r>
      <w:r>
        <w:rPr>
          <w:rFonts w:eastAsia="Calibri" w:cs="Times New Roman"/>
          <w:bCs/>
          <w:szCs w:val="24"/>
          <w:lang w:eastAsia="lv-LV"/>
        </w:rPr>
        <w:t>.</w:t>
      </w:r>
    </w:p>
    <w:p w:rsidR="00302E76" w:rsidRPr="00045DB3" w:rsidP="00302E76" w14:paraId="66DFEFEE" w14:textId="77777777">
      <w:pPr>
        <w:keepNext/>
        <w:spacing w:before="120" w:after="120" w:line="240" w:lineRule="auto"/>
        <w:ind w:left="720" w:hanging="360"/>
        <w:outlineLvl w:val="0"/>
        <w:rPr>
          <w:rFonts w:eastAsia="Times New Roman" w:cs="Times New Roman"/>
          <w:b/>
          <w:sz w:val="28"/>
          <w:szCs w:val="24"/>
        </w:rPr>
      </w:pPr>
      <w:bookmarkStart w:id="1" w:name="_Toc17711399"/>
      <w:r w:rsidRPr="00045DB3">
        <w:rPr>
          <w:rFonts w:eastAsia="Times New Roman" w:cs="Times New Roman"/>
          <w:b/>
          <w:sz w:val="28"/>
          <w:szCs w:val="24"/>
        </w:rPr>
        <w:t>II Terminu skaidrojums</w:t>
      </w:r>
      <w:bookmarkEnd w:id="1"/>
    </w:p>
    <w:p w:rsidR="00302E76" w:rsidRPr="00853C9C" w:rsidP="00302E76" w14:paraId="66DFEFEF" w14:textId="77777777">
      <w:pPr>
        <w:numPr>
          <w:ilvl w:val="1"/>
          <w:numId w:val="2"/>
        </w:numPr>
        <w:spacing w:before="120" w:after="120" w:line="240" w:lineRule="auto"/>
        <w:jc w:val="both"/>
        <w:rPr>
          <w:rFonts w:eastAsia="Calibri" w:cs="Times New Roman"/>
          <w:bCs/>
          <w:szCs w:val="24"/>
          <w:lang w:eastAsia="lv-LV"/>
        </w:rPr>
      </w:pPr>
      <w:r w:rsidRPr="00045DB3">
        <w:rPr>
          <w:rFonts w:eastAsia="Calibri" w:cs="Times New Roman"/>
          <w:bCs/>
          <w:szCs w:val="24"/>
          <w:lang w:eastAsia="lv-LV"/>
        </w:rPr>
        <w:t>Dokumentā termini tiek lietoti tādā nozīmē, kādā tie tiek lietoti Tīkla kodeksā.</w:t>
      </w:r>
    </w:p>
    <w:p w:rsidR="00302E76" w:rsidRPr="00045DB3" w:rsidP="00302E76" w14:paraId="66DFEFF0" w14:textId="77777777">
      <w:pPr>
        <w:keepNext/>
        <w:spacing w:before="120" w:after="120" w:line="240" w:lineRule="auto"/>
        <w:ind w:left="720" w:hanging="360"/>
        <w:outlineLvl w:val="0"/>
        <w:rPr>
          <w:rFonts w:cs="Times New Roman"/>
          <w:szCs w:val="24"/>
          <w:u w:val="single"/>
        </w:rPr>
      </w:pPr>
      <w:bookmarkStart w:id="2" w:name="_Toc17711400"/>
      <w:r w:rsidRPr="00045DB3">
        <w:rPr>
          <w:rFonts w:eastAsia="Times New Roman" w:cs="Times New Roman"/>
          <w:b/>
          <w:sz w:val="28"/>
          <w:szCs w:val="24"/>
        </w:rPr>
        <w:t>II</w:t>
      </w:r>
      <w:r>
        <w:rPr>
          <w:rFonts w:eastAsia="Times New Roman" w:cs="Times New Roman"/>
          <w:b/>
          <w:sz w:val="28"/>
          <w:szCs w:val="24"/>
        </w:rPr>
        <w:t>I</w:t>
      </w:r>
      <w:r w:rsidRPr="00045DB3">
        <w:rPr>
          <w:rFonts w:eastAsia="Times New Roman" w:cs="Times New Roman"/>
          <w:b/>
          <w:sz w:val="28"/>
          <w:szCs w:val="24"/>
        </w:rPr>
        <w:t xml:space="preserve"> Prasības datu apmaiņai</w:t>
      </w:r>
      <w:bookmarkEnd w:id="2"/>
    </w:p>
    <w:p w:rsidR="00302E76" w:rsidRPr="00045DB3" w:rsidP="00302E76" w14:paraId="66DFEFF1" w14:textId="77777777">
      <w:pPr>
        <w:pStyle w:val="ListParagraph"/>
        <w:numPr>
          <w:ilvl w:val="1"/>
          <w:numId w:val="2"/>
        </w:numPr>
        <w:jc w:val="both"/>
      </w:pPr>
      <w:r w:rsidRPr="00674D2A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Reālā laika aktīvās jaudas summāro mērījumu (rādījumu) </w:t>
      </w:r>
      <w:r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iesniegšanu </w:t>
      </w:r>
      <w:r w:rsidRPr="00674D2A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AST jānodrošina jebkurai rezervju nodrošināšanas vienībai, kas atbilst dispečervadības grafika ģenerētājvienības (DVGĢ) definīcijai saskaņā ar Tīkla kodeksā noteikto</w:t>
      </w:r>
      <w:r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.</w:t>
      </w:r>
    </w:p>
    <w:p w:rsidR="00302E76" w:rsidRPr="00853C9C" w:rsidP="00302E76" w14:paraId="66DFEFF2" w14:textId="77777777">
      <w:pPr>
        <w:numPr>
          <w:ilvl w:val="1"/>
          <w:numId w:val="2"/>
        </w:numPr>
        <w:spacing w:before="120" w:after="120" w:line="240" w:lineRule="auto"/>
        <w:jc w:val="both"/>
        <w:rPr>
          <w:rFonts w:cs="Times New Roman"/>
          <w:szCs w:val="24"/>
        </w:rPr>
      </w:pPr>
      <w:r w:rsidRPr="00045DB3">
        <w:rPr>
          <w:rFonts w:eastAsia="Calibri" w:cs="Times New Roman"/>
          <w:bCs/>
          <w:szCs w:val="24"/>
          <w:lang w:eastAsia="lv-LV"/>
        </w:rPr>
        <w:t xml:space="preserve">Regulēšanas pakalpojuma sniedzējam jābūt spējīgam realizēt datu apmaiņas prasības, kas paredzēti </w:t>
      </w:r>
      <w:r w:rsidRPr="00C70B3B">
        <w:rPr>
          <w:rFonts w:eastAsia="Calibri" w:cs="Times New Roman"/>
          <w:bCs/>
          <w:szCs w:val="24"/>
          <w:lang w:eastAsia="lv-LV"/>
        </w:rPr>
        <w:t xml:space="preserve">"Sistēmas palīgpakalpojuma līguma Regulēšanas pakalpojuma sniegšanas noteikumos" (apstiprināti ar AS </w:t>
      </w:r>
      <w:r w:rsidR="009A4AF6">
        <w:rPr>
          <w:rFonts w:eastAsia="Calibri" w:cs="Times New Roman"/>
          <w:bCs/>
          <w:szCs w:val="24"/>
          <w:lang w:eastAsia="lv-LV"/>
        </w:rPr>
        <w:t>"</w:t>
      </w:r>
      <w:r w:rsidRPr="00C70B3B">
        <w:rPr>
          <w:rFonts w:eastAsia="Calibri" w:cs="Times New Roman"/>
          <w:bCs/>
          <w:szCs w:val="24"/>
          <w:lang w:eastAsia="lv-LV"/>
        </w:rPr>
        <w:t>Augtsprieguma tīkls</w:t>
      </w:r>
      <w:r w:rsidR="009A4AF6">
        <w:rPr>
          <w:rFonts w:eastAsia="Calibri" w:cs="Times New Roman"/>
          <w:bCs/>
          <w:szCs w:val="24"/>
          <w:lang w:eastAsia="lv-LV"/>
        </w:rPr>
        <w:t>"</w:t>
      </w:r>
      <w:r w:rsidRPr="00C70B3B">
        <w:rPr>
          <w:rFonts w:eastAsia="Calibri" w:cs="Times New Roman"/>
          <w:bCs/>
          <w:szCs w:val="24"/>
          <w:lang w:eastAsia="lv-LV"/>
        </w:rPr>
        <w:t xml:space="preserve">  valdes 2017.gada 20.decembra lēmumu Nr. 169/58</w:t>
      </w:r>
      <w:r>
        <w:rPr>
          <w:rFonts w:eastAsia="Calibri" w:cs="Times New Roman"/>
          <w:bCs/>
          <w:szCs w:val="24"/>
          <w:lang w:eastAsia="lv-LV"/>
        </w:rPr>
        <w:t xml:space="preserve">, turpmāk - </w:t>
      </w:r>
      <w:r w:rsidRPr="004C0334">
        <w:rPr>
          <w:rFonts w:eastAsia="Calibri" w:cs="Times New Roman"/>
          <w:bCs/>
          <w:szCs w:val="24"/>
          <w:lang w:eastAsia="lv-LV"/>
        </w:rPr>
        <w:t>SPPL</w:t>
      </w:r>
      <w:r w:rsidRPr="00045DB3">
        <w:rPr>
          <w:rFonts w:eastAsia="Calibri" w:cs="Times New Roman"/>
          <w:bCs/>
          <w:szCs w:val="24"/>
          <w:lang w:eastAsia="lv-LV"/>
        </w:rPr>
        <w:t xml:space="preserve"> noteikum</w:t>
      </w:r>
      <w:r>
        <w:rPr>
          <w:rFonts w:eastAsia="Calibri" w:cs="Times New Roman"/>
          <w:bCs/>
          <w:szCs w:val="24"/>
          <w:lang w:eastAsia="lv-LV"/>
        </w:rPr>
        <w:t>i)</w:t>
      </w:r>
      <w:r w:rsidRPr="00045DB3">
        <w:rPr>
          <w:rFonts w:eastAsia="Calibri" w:cs="Times New Roman"/>
          <w:bCs/>
          <w:szCs w:val="24"/>
          <w:lang w:eastAsia="lv-LV"/>
        </w:rPr>
        <w:t xml:space="preserve"> 2., 3. un 5.nodaļās.</w:t>
      </w:r>
    </w:p>
    <w:p w:rsidR="00302E76" w:rsidRPr="00045DB3" w:rsidP="00302E76" w14:paraId="66DFEFF3" w14:textId="77777777">
      <w:pPr>
        <w:keepNext/>
        <w:spacing w:before="120" w:after="120" w:line="240" w:lineRule="auto"/>
        <w:ind w:left="720" w:hanging="360"/>
        <w:outlineLvl w:val="0"/>
        <w:rPr>
          <w:rFonts w:eastAsia="Times New Roman" w:cs="Times New Roman"/>
          <w:b/>
          <w:sz w:val="28"/>
          <w:szCs w:val="24"/>
        </w:rPr>
      </w:pPr>
      <w:bookmarkStart w:id="3" w:name="_Toc17711401"/>
      <w:r w:rsidRPr="00045DB3">
        <w:rPr>
          <w:rFonts w:eastAsia="Times New Roman" w:cs="Times New Roman"/>
          <w:b/>
          <w:sz w:val="28"/>
          <w:szCs w:val="24"/>
        </w:rPr>
        <w:t>IV Prasības komercuzskaites nodrošināšanai</w:t>
      </w:r>
      <w:bookmarkEnd w:id="3"/>
    </w:p>
    <w:p w:rsidR="00302E76" w:rsidP="00302E76" w14:paraId="66DFEFF4" w14:textId="77777777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D26">
        <w:rPr>
          <w:rFonts w:ascii="Times New Roman" w:hAnsi="Times New Roman" w:cs="Times New Roman"/>
          <w:sz w:val="24"/>
          <w:szCs w:val="24"/>
        </w:rPr>
        <w:t>Rezervju nodrošināšanas vienībai</w:t>
      </w:r>
      <w:r>
        <w:rPr>
          <w:rFonts w:ascii="Times New Roman" w:hAnsi="Times New Roman" w:cs="Times New Roman"/>
          <w:sz w:val="24"/>
          <w:szCs w:val="24"/>
        </w:rPr>
        <w:t xml:space="preserve"> pieslēguma vietā pie sistēmas operatora tīkla ir jābūt uzstādītiem </w:t>
      </w:r>
      <w:r w:rsidRPr="008F2FBE">
        <w:rPr>
          <w:rFonts w:ascii="Times New Roman" w:hAnsi="Times New Roman" w:cs="Times New Roman"/>
          <w:sz w:val="24"/>
          <w:szCs w:val="24"/>
        </w:rPr>
        <w:t>saražotās</w:t>
      </w:r>
      <w:r>
        <w:rPr>
          <w:rFonts w:ascii="Times New Roman" w:hAnsi="Times New Roman" w:cs="Times New Roman"/>
          <w:sz w:val="24"/>
          <w:szCs w:val="24"/>
        </w:rPr>
        <w:t>/patērētās (atkarībā no pieslēguma veida)</w:t>
      </w:r>
      <w:r w:rsidRPr="008F2FBE">
        <w:rPr>
          <w:rFonts w:ascii="Times New Roman" w:hAnsi="Times New Roman" w:cs="Times New Roman"/>
          <w:sz w:val="24"/>
          <w:szCs w:val="24"/>
        </w:rPr>
        <w:t xml:space="preserve"> elektroenerģijas uzskaites mēraparātiem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2E76" w:rsidP="00302E76" w14:paraId="66DFEFF5" w14:textId="77777777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94EC6">
        <w:rPr>
          <w:rFonts w:ascii="Times New Roman" w:hAnsi="Times New Roman" w:cs="Times New Roman"/>
          <w:sz w:val="24"/>
          <w:szCs w:val="24"/>
        </w:rPr>
        <w:t>lektroenerģijas uzskaites mēraparātiem ir jāatbilst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EC6">
        <w:rPr>
          <w:rFonts w:ascii="Times New Roman" w:hAnsi="Times New Roman" w:cs="Times New Roman"/>
          <w:sz w:val="24"/>
          <w:szCs w:val="24"/>
        </w:rPr>
        <w:t xml:space="preserve">Valsts metroloģiskai pārbaudei pakļauto mērīšanas līdzekļu normatīvajām prasībām, tai skaitā par sertifikāciju un verifikāciju, atbilstoši likumam </w:t>
      </w:r>
      <w:r w:rsidR="009A4AF6">
        <w:rPr>
          <w:rFonts w:ascii="Times New Roman" w:hAnsi="Times New Roman" w:cs="Times New Roman"/>
          <w:sz w:val="24"/>
          <w:szCs w:val="24"/>
        </w:rPr>
        <w:t>"</w:t>
      </w:r>
      <w:r w:rsidRPr="00594EC6">
        <w:rPr>
          <w:rFonts w:ascii="Times New Roman" w:hAnsi="Times New Roman" w:cs="Times New Roman"/>
          <w:sz w:val="24"/>
          <w:szCs w:val="24"/>
        </w:rPr>
        <w:t>Par mērījumu vienotību</w:t>
      </w:r>
      <w:r w:rsidR="009A4AF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2E76" w:rsidP="00302E76" w14:paraId="66DFEFF6" w14:textId="77777777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EC6">
        <w:rPr>
          <w:rFonts w:ascii="Times New Roman" w:hAnsi="Times New Roman" w:cs="Times New Roman"/>
          <w:sz w:val="24"/>
          <w:szCs w:val="24"/>
        </w:rPr>
        <w:t>Elektr</w:t>
      </w:r>
      <w:r>
        <w:rPr>
          <w:rFonts w:ascii="Times New Roman" w:hAnsi="Times New Roman" w:cs="Times New Roman"/>
          <w:sz w:val="24"/>
          <w:szCs w:val="24"/>
        </w:rPr>
        <w:t>oenerģijas uzskaites mēraparātu precizitāte nedrīkst būt zemāka, kā norādīts Tīkla kodeksā.</w:t>
      </w:r>
    </w:p>
    <w:p w:rsidR="00302E76" w:rsidRPr="00B400CE" w:rsidP="00302E76" w14:paraId="66DFEFF7" w14:textId="77777777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Elektroenerģijas </w:t>
      </w:r>
      <w:r w:rsidRPr="00564B15">
        <w:rPr>
          <w:rFonts w:ascii="Times New Roman" w:hAnsi="Times New Roman" w:cs="Times New Roman"/>
          <w:sz w:val="24"/>
          <w:szCs w:val="24"/>
        </w:rPr>
        <w:t xml:space="preserve">uzskaites mēraparātiem </w:t>
      </w:r>
      <w:r>
        <w:rPr>
          <w:rFonts w:ascii="Times New Roman" w:hAnsi="Times New Roman" w:cs="Times New Roman"/>
          <w:sz w:val="24"/>
          <w:szCs w:val="24"/>
        </w:rPr>
        <w:t>ir jābūt ar iespēju uzskaitīt slodžu profilus vismaz katram tirdzniecības intervālam (šobrīd 60 minūtes, nākotnē 15 minūtes), un tiem jābūt pieslēgtam pie sistēmas operatora</w:t>
      </w:r>
      <w:r w:rsidRPr="007B3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automatizētās elektroenerģijas uzskaites sistēmas (AEUS).</w:t>
      </w:r>
    </w:p>
    <w:p w:rsidR="00302E76" w:rsidRPr="00302E76" w:rsidP="00302E76" w14:paraId="66DFEFF8" w14:textId="77777777">
      <w:pPr>
        <w:pStyle w:val="Heading1"/>
        <w:spacing w:after="240"/>
        <w:ind w:firstLine="426"/>
        <w:rPr>
          <w:color w:val="auto"/>
        </w:rPr>
      </w:pPr>
      <w:bookmarkStart w:id="4" w:name="_Toc17711402"/>
      <w:r w:rsidRPr="00302E7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V Atbilstības izvērtēšana</w:t>
      </w:r>
      <w:bookmarkEnd w:id="4"/>
    </w:p>
    <w:p w:rsidR="00302E76" w:rsidRPr="00674D2A" w:rsidP="00302E76" w14:paraId="66DFEFF9" w14:textId="77777777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D2A">
        <w:rPr>
          <w:rFonts w:ascii="Times New Roman" w:hAnsi="Times New Roman" w:cs="Times New Roman"/>
          <w:sz w:val="24"/>
          <w:szCs w:val="24"/>
        </w:rPr>
        <w:t>Lai izvērtētu atbilstību šajā kārtībā noteiktajām prasībām, AST:</w:t>
      </w:r>
    </w:p>
    <w:p w:rsidR="00302E76" w:rsidRPr="00ED556F" w:rsidP="00302E76" w14:paraId="66DFEFFA" w14:textId="77777777">
      <w:pPr>
        <w:pStyle w:val="ListParagraph"/>
        <w:numPr>
          <w:ilvl w:val="1"/>
          <w:numId w:val="3"/>
        </w:numPr>
        <w:spacing w:after="0"/>
        <w:ind w:left="992" w:hanging="6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4D2A">
        <w:rPr>
          <w:rFonts w:ascii="Times New Roman" w:hAnsi="Times New Roman" w:cs="Times New Roman"/>
          <w:sz w:val="24"/>
          <w:szCs w:val="24"/>
        </w:rPr>
        <w:t>Testē regulēšanas pakalpojuma sniedzēja spēju sekmīgi izpildīt datu apmaiņas prasības;</w:t>
      </w:r>
    </w:p>
    <w:p w:rsidR="00302E76" w:rsidRPr="00674D2A" w:rsidP="00302E76" w14:paraId="66DFEFFB" w14:textId="2972B275">
      <w:pPr>
        <w:pStyle w:val="ListParagraph"/>
        <w:numPr>
          <w:ilvl w:val="1"/>
          <w:numId w:val="3"/>
        </w:numPr>
        <w:spacing w:after="0"/>
        <w:ind w:left="992" w:hanging="6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4D2A">
        <w:rPr>
          <w:rFonts w:ascii="Times New Roman" w:hAnsi="Times New Roman" w:cs="Times New Roman"/>
          <w:sz w:val="24"/>
          <w:szCs w:val="24"/>
        </w:rPr>
        <w:t>Pārbauda regulēšanas pakalpojuma sniedzēja spēju aktivizēt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Pr="00674D2A">
        <w:rPr>
          <w:rFonts w:ascii="Times New Roman" w:hAnsi="Times New Roman" w:cs="Times New Roman"/>
          <w:sz w:val="24"/>
          <w:szCs w:val="24"/>
        </w:rPr>
        <w:t>vadīt rezervju nodrošināšanas vienības līdz plānotajam solījuma apjomam atbilstoši regulēšanas produkta specifikācijai.</w:t>
      </w:r>
    </w:p>
    <w:p w:rsidR="00302E76" w:rsidP="00302E76" w14:paraId="66DFEFFC" w14:textId="77777777">
      <w:pPr>
        <w:pStyle w:val="Heading1"/>
        <w:spacing w:after="240"/>
        <w:ind w:firstLine="426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674D2A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VI Noslēguma noteikumi</w:t>
      </w:r>
    </w:p>
    <w:p w:rsidR="000E1C2F" w:rsidRPr="0001627D" w:rsidP="0001627D" w14:paraId="66DFF000" w14:textId="2970B43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D2A">
        <w:rPr>
          <w:rFonts w:ascii="Times New Roman" w:hAnsi="Times New Roman" w:cs="Times New Roman"/>
          <w:sz w:val="24"/>
          <w:szCs w:val="24"/>
        </w:rPr>
        <w:t>AST var izdarīt grozījumus šajā kārtībā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D2A">
        <w:rPr>
          <w:rFonts w:ascii="Times New Roman" w:hAnsi="Times New Roman" w:cs="Times New Roman"/>
          <w:sz w:val="24"/>
          <w:szCs w:val="24"/>
        </w:rPr>
        <w:t xml:space="preserve"> AST publicē savā tīmekļvietnē datumu, ar kuru grozījumi stāsies spēkā.</w:t>
      </w:r>
      <w:bookmarkStart w:id="5" w:name="_GoBack"/>
      <w:bookmarkEnd w:id="5"/>
    </w:p>
    <w:sectPr w:rsidSect="00B64562">
      <w:headerReference w:type="default" r:id="rId8"/>
      <w:headerReference w:type="first" r:id="rId9"/>
      <w:pgSz w:w="11906" w:h="16838"/>
      <w:pgMar w:top="567" w:right="1416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/>
    </w:tblPr>
    <w:tblGrid>
      <w:gridCol w:w="1743"/>
      <w:gridCol w:w="6507"/>
      <w:gridCol w:w="1038"/>
    </w:tblGrid>
    <w:tr w14:paraId="66DFF008" w14:textId="77777777" w:rsidTr="00CC73C0"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Ex>
      <w:trPr>
        <w:cantSplit/>
      </w:trPr>
      <w:tc>
        <w:tcPr>
          <w:tcW w:w="9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E1C2F" w:rsidP="000E1C2F" w14:paraId="66DFF001" w14:textId="77777777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:rsidR="002C7C44" w:rsidRPr="000E1C2F" w:rsidP="000E1C2F" w14:paraId="66DFF002" w14:textId="77777777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K-52-206</w:t>
          </w:r>
          <w:r>
            <w:rPr>
              <w:rFonts w:cs="Times New Roman"/>
              <w:sz w:val="16"/>
              <w:szCs w:val="16"/>
            </w:rPr>
            <w:fldChar w:fldCharType="end"/>
          </w:r>
        </w:p>
        <w:p w:rsidR="002C7C44" w:rsidP="002C7C44" w14:paraId="66DFF003" w14:textId="77777777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Redakcija:</w:t>
          </w:r>
        </w:p>
        <w:p w:rsidR="000E1C2F" w:rsidP="002C7C44" w14:paraId="66DFF004" w14:textId="77777777">
          <w:pPr>
            <w:pStyle w:val="Header"/>
          </w:pPr>
          <w:r w:rsidRPr="000E1C2F">
            <w:rPr>
              <w:rFonts w:cs="Times New Roman"/>
              <w:sz w:val="16"/>
              <w:szCs w:val="16"/>
            </w:rPr>
            <w:t xml:space="preserve"> </w:t>
          </w:r>
          <w:bookmarkStart w:id="6" w:name="DocVers_2_"/>
          <w:bookmarkEnd w:id="6"/>
          <w:r w:rsidR="002C7C44">
            <w:rPr>
              <w:rFonts w:cs="Times New Roman"/>
              <w:sz w:val="16"/>
              <w:szCs w:val="16"/>
            </w:rPr>
            <w:fldChar w:fldCharType="begin"/>
          </w:r>
          <w:r w:rsidR="002C7C44"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="002C7C44">
            <w:rPr>
              <w:rFonts w:cs="Times New Roman"/>
              <w:sz w:val="16"/>
              <w:szCs w:val="16"/>
            </w:rPr>
            <w:fldChar w:fldCharType="separate"/>
          </w:r>
          <w:r w:rsidR="002C7C44">
            <w:rPr>
              <w:rFonts w:cs="Times New Roman"/>
              <w:sz w:val="16"/>
              <w:szCs w:val="16"/>
            </w:rPr>
            <w:t xml:space="preserve"> 01</w:t>
          </w:r>
          <w:r w:rsidR="002C7C44">
            <w:rPr>
              <w:rFonts w:cs="Times New Roman"/>
              <w:sz w:val="16"/>
              <w:szCs w:val="16"/>
            </w:rPr>
            <w:fldChar w:fldCharType="end"/>
          </w:r>
        </w:p>
      </w:tc>
      <w:tc>
        <w:tcPr>
          <w:tcW w:w="35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7C44" w:rsidP="00305C54" w14:paraId="66DFF005" w14:textId="7777777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fldChar w:fldCharType="begin"/>
          </w:r>
          <w:r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>
            <w:rPr>
              <w:rFonts w:cs="Times New Roman"/>
              <w:sz w:val="20"/>
              <w:szCs w:val="20"/>
            </w:rPr>
            <w:fldChar w:fldCharType="separate"/>
          </w:r>
          <w:r>
            <w:rPr>
              <w:rFonts w:cs="Times New Roman"/>
              <w:sz w:val="20"/>
              <w:szCs w:val="20"/>
            </w:rPr>
            <w:t>Kārtības</w:t>
          </w:r>
          <w:r>
            <w:rPr>
              <w:rFonts w:cs="Times New Roman"/>
              <w:sz w:val="20"/>
              <w:szCs w:val="20"/>
            </w:rPr>
            <w:fldChar w:fldCharType="end"/>
          </w:r>
        </w:p>
        <w:p w:rsidR="000E1C2F" w:rsidRPr="000E1C2F" w:rsidP="001053AF" w14:paraId="66DFF006" w14:textId="77777777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DOCPROPERTY  DOK_</w:instrText>
          </w:r>
          <w:r w:rsidR="001053AF">
            <w:rPr>
              <w:rFonts w:cs="Times New Roman"/>
              <w:b/>
              <w:bCs/>
              <w:sz w:val="20"/>
              <w:szCs w:val="20"/>
            </w:rPr>
            <w:instrText>ANOTACIJA</w:instrText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sz w:val="20"/>
              <w:szCs w:val="20"/>
            </w:rPr>
            <w:t>Tehniskās un datu apmaiņas prasības rezervju nodrošināšanas vienībām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5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C0E4A" w:rsidRPr="00E37B9B" w:rsidP="000E1C2F" w14:paraId="66DFF007" w14:textId="77777777">
          <w:pPr>
            <w:pStyle w:val="Header"/>
            <w:rPr>
              <w:rFonts w:cs="Times New Roman"/>
              <w:sz w:val="16"/>
              <w:szCs w:val="16"/>
            </w:rPr>
          </w:pPr>
          <w:r w:rsidRPr="005F0F7D">
            <w:rPr>
              <w:rFonts w:cs="Times New Roman"/>
              <w:sz w:val="16"/>
              <w:szCs w:val="16"/>
            </w:rPr>
            <w:t xml:space="preserve">Lapa </w:t>
          </w:r>
          <w:r w:rsidRPr="005F0F7D">
            <w:rPr>
              <w:rStyle w:val="PageNumber"/>
              <w:rFonts w:cs="Times New Roman"/>
              <w:sz w:val="16"/>
              <w:szCs w:val="16"/>
            </w:rPr>
            <w:fldChar w:fldCharType="begin"/>
          </w:r>
          <w:r w:rsidRPr="005F0F7D">
            <w:rPr>
              <w:rStyle w:val="PageNumber"/>
              <w:rFonts w:cs="Times New Roman"/>
              <w:sz w:val="16"/>
              <w:szCs w:val="16"/>
            </w:rPr>
            <w:instrText xml:space="preserve"> PAGE </w:instrText>
          </w:r>
          <w:r w:rsidRPr="005F0F7D">
            <w:rPr>
              <w:rStyle w:val="PageNumber"/>
              <w:rFonts w:cs="Times New Roman"/>
              <w:sz w:val="16"/>
              <w:szCs w:val="16"/>
            </w:rPr>
            <w:fldChar w:fldCharType="separate"/>
          </w:r>
          <w:r w:rsidRPr="005F0F7D">
            <w:rPr>
              <w:rStyle w:val="PageNumber"/>
              <w:rFonts w:cs="Times New Roman"/>
              <w:sz w:val="16"/>
              <w:szCs w:val="16"/>
            </w:rPr>
            <w:t>2</w:t>
          </w:r>
          <w:r w:rsidRPr="005F0F7D">
            <w:rPr>
              <w:rStyle w:val="PageNumber"/>
              <w:rFonts w:cs="Times New Roman"/>
              <w:sz w:val="16"/>
              <w:szCs w:val="16"/>
            </w:rPr>
            <w:fldChar w:fldCharType="end"/>
          </w:r>
          <w:r w:rsidRPr="005F0F7D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Pr="005F0F7D">
            <w:rPr>
              <w:rStyle w:val="PageNumber"/>
              <w:rFonts w:cs="Times New Roman"/>
              <w:sz w:val="16"/>
              <w:szCs w:val="16"/>
            </w:rPr>
            <w:fldChar w:fldCharType="begin"/>
          </w:r>
          <w:r w:rsidRPr="005F0F7D">
            <w:rPr>
              <w:rStyle w:val="PageNumber"/>
              <w:rFonts w:cs="Times New Roman"/>
              <w:sz w:val="16"/>
              <w:szCs w:val="16"/>
            </w:rPr>
            <w:instrText xml:space="preserve"> NUMPAGES </w:instrText>
          </w:r>
          <w:r w:rsidRPr="005F0F7D">
            <w:rPr>
              <w:rStyle w:val="PageNumber"/>
              <w:rFonts w:cs="Times New Roman"/>
              <w:sz w:val="16"/>
              <w:szCs w:val="16"/>
            </w:rPr>
            <w:fldChar w:fldCharType="separate"/>
          </w:r>
          <w:r w:rsidRPr="005F0F7D">
            <w:rPr>
              <w:rStyle w:val="PageNumber"/>
              <w:rFonts w:cs="Times New Roman"/>
              <w:sz w:val="16"/>
              <w:szCs w:val="16"/>
            </w:rPr>
            <w:t>2</w:t>
          </w:r>
          <w:r w:rsidRPr="005F0F7D">
            <w:rPr>
              <w:rStyle w:val="PageNumber"/>
              <w:rFonts w:cs="Times New Roman"/>
              <w:sz w:val="16"/>
              <w:szCs w:val="16"/>
            </w:rPr>
            <w:fldChar w:fldCharType="end"/>
          </w:r>
          <w:r w:rsidRPr="005F0F7D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</w:tbl>
  <w:p w:rsidR="00E57E7E" w:rsidP="00E37B9B" w14:paraId="66DFF00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/>
    </w:tblPr>
    <w:tblGrid>
      <w:gridCol w:w="1461"/>
      <w:gridCol w:w="1754"/>
      <w:gridCol w:w="3645"/>
      <w:gridCol w:w="976"/>
      <w:gridCol w:w="1452"/>
    </w:tblGrid>
    <w:tr w14:paraId="66DFF013" w14:textId="77777777" w:rsidTr="00CC73C0"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Ex>
      <w:trPr>
        <w:cantSplit/>
        <w:trHeight w:val="370"/>
      </w:trPr>
      <w:tc>
        <w:tcPr>
          <w:tcW w:w="1779" w:type="pct"/>
          <w:gridSpan w:val="2"/>
          <w:vMerge w:val="restart"/>
          <w:tcBorders>
            <w:top w:val="single" w:sz="4" w:space="0" w:color="auto"/>
            <w:right w:val="single" w:sz="4" w:space="0" w:color="auto"/>
          </w:tcBorders>
        </w:tcPr>
        <w:p w:rsidR="00820B66" w:rsidRPr="000E1C2F" w:rsidP="00820B66" w14:paraId="66DFF00A" w14:textId="77777777">
          <w:pPr>
            <w:pStyle w:val="Header"/>
            <w:rPr>
              <w:rFonts w:cs="Times New Roman"/>
              <w:sz w:val="16"/>
              <w:szCs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2.6pt;height:20.75pt" o:oleicon="f" o:ole="">
                <v:imagedata r:id="rId1" o:title=""/>
              </v:shape>
              <o:OLEObject Type="Embed" ProgID="Visio.Drawing.15" ShapeID="_x0000_i2049" DrawAspect="Content" ObjectID="_1628596851" r:id="rId2"/>
            </w:object>
          </w:r>
        </w:p>
        <w:p w:rsidR="00820B66" w:rsidRPr="000E1C2F" w:rsidP="00820B66" w14:paraId="66DFF00B" w14:textId="77777777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AS "Augstsprieguma tīkls"</w:t>
          </w:r>
        </w:p>
        <w:p w:rsidR="00820B66" w:rsidRPr="000E1C2F" w:rsidP="00820B66" w14:paraId="66DFF00C" w14:textId="77777777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Uzņ. Reģ. Nr. 40003575567</w:t>
          </w:r>
        </w:p>
        <w:p w:rsidR="00820B66" w:rsidRPr="000E1C2F" w:rsidP="00820B66" w14:paraId="66DFF00D" w14:textId="77777777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Dārzciema iela 86, Rīga, LV-1073, Latvija</w:t>
          </w:r>
        </w:p>
        <w:p w:rsidR="00820B66" w:rsidRPr="000E1C2F" w:rsidP="00820B66" w14:paraId="66DFF00E" w14:textId="77777777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Tālr.(+371) 67728353, Fakss: (+371) 67728858</w:t>
          </w:r>
        </w:p>
      </w:tc>
      <w:tc>
        <w:tcPr>
          <w:tcW w:w="2607" w:type="pct"/>
          <w:gridSpan w:val="2"/>
          <w:vMerge w:val="restart"/>
          <w:tcBorders>
            <w:top w:val="single" w:sz="4" w:space="0" w:color="auto"/>
            <w:left w:val="single" w:sz="4" w:space="0" w:color="auto"/>
          </w:tcBorders>
        </w:tcPr>
        <w:p w:rsidR="00820B66" w:rsidRPr="00C60806" w:rsidP="00305C54" w14:paraId="66DFF00F" w14:textId="7777777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C60806">
            <w:rPr>
              <w:rFonts w:cs="Times New Roman"/>
              <w:sz w:val="20"/>
              <w:szCs w:val="20"/>
            </w:rPr>
            <w:fldChar w:fldCharType="begin"/>
          </w:r>
          <w:r w:rsidRPr="00C60806"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00C60806">
            <w:rPr>
              <w:rFonts w:cs="Times New Roman"/>
              <w:sz w:val="20"/>
              <w:szCs w:val="20"/>
            </w:rPr>
            <w:fldChar w:fldCharType="separate"/>
          </w:r>
          <w:r w:rsidRPr="00C60806">
            <w:rPr>
              <w:rFonts w:cs="Times New Roman"/>
              <w:sz w:val="20"/>
              <w:szCs w:val="20"/>
            </w:rPr>
            <w:t>Kārtības</w:t>
          </w:r>
          <w:r w:rsidRPr="00C60806">
            <w:rPr>
              <w:rFonts w:cs="Times New Roman"/>
              <w:sz w:val="20"/>
              <w:szCs w:val="20"/>
            </w:rPr>
            <w:fldChar w:fldCharType="end"/>
          </w:r>
        </w:p>
        <w:p w:rsidR="004128C3" w:rsidRPr="00C60806" w:rsidP="001A6828" w14:paraId="66DFF010" w14:textId="77777777">
          <w:pPr>
            <w:pStyle w:val="Header"/>
            <w:rPr>
              <w:rFonts w:cs="Times New Roman"/>
              <w:b/>
              <w:sz w:val="20"/>
              <w:szCs w:val="20"/>
            </w:rPr>
          </w:pPr>
          <w:r w:rsidRPr="00C60806">
            <w:rPr>
              <w:rFonts w:cs="Times New Roman"/>
              <w:b/>
              <w:sz w:val="20"/>
              <w:szCs w:val="20"/>
            </w:rPr>
            <w:fldChar w:fldCharType="begin"/>
          </w:r>
          <w:r w:rsidRPr="00C60806">
            <w:rPr>
              <w:rFonts w:cs="Times New Roman"/>
              <w:b/>
              <w:sz w:val="20"/>
              <w:szCs w:val="20"/>
            </w:rPr>
            <w:instrText xml:space="preserve"> DOCPROPERTY  DOK_ANOTACIJA  \* MERGEFORMAT </w:instrText>
          </w:r>
          <w:r w:rsidRPr="00C60806">
            <w:rPr>
              <w:rFonts w:cs="Times New Roman"/>
              <w:b/>
              <w:sz w:val="20"/>
              <w:szCs w:val="20"/>
            </w:rPr>
            <w:fldChar w:fldCharType="separate"/>
          </w:r>
          <w:r w:rsidRPr="00C60806">
            <w:rPr>
              <w:rFonts w:cs="Times New Roman"/>
              <w:b/>
              <w:sz w:val="20"/>
              <w:szCs w:val="20"/>
            </w:rPr>
            <w:t>Tehniskās un datu apmaiņas prasības rezervju nodrošināšanas vienībām</w:t>
          </w:r>
          <w:r w:rsidRPr="00C60806">
            <w:rPr>
              <w:rFonts w:cs="Times New Roman"/>
              <w:b/>
              <w:sz w:val="20"/>
              <w:szCs w:val="20"/>
            </w:rPr>
            <w:fldChar w:fldCharType="end"/>
          </w: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820B66" w:rsidRPr="000E1C2F" w:rsidP="00820B66" w14:paraId="66DFF011" w14:textId="77777777">
          <w:pPr>
            <w:pStyle w:val="Header"/>
            <w:rPr>
              <w:rFonts w:cs="Times New Roman"/>
              <w:sz w:val="16"/>
              <w:szCs w:val="16"/>
            </w:rPr>
          </w:pPr>
        </w:p>
        <w:p w:rsidR="00820B66" w:rsidRPr="00E37B9B" w:rsidP="00820B66" w14:paraId="66DFF012" w14:textId="77777777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Lapa </w:t>
          </w:r>
          <w:r w:rsidRPr="000E1C2F">
            <w:rPr>
              <w:rStyle w:val="PageNumber"/>
              <w:rFonts w:cs="Times New Roman"/>
              <w:sz w:val="16"/>
              <w:szCs w:val="16"/>
            </w:rPr>
            <w:fldChar w:fldCharType="begin"/>
          </w:r>
          <w:r w:rsidRPr="000E1C2F">
            <w:rPr>
              <w:rStyle w:val="PageNumber"/>
              <w:rFonts w:cs="Times New Roman"/>
              <w:sz w:val="16"/>
              <w:szCs w:val="16"/>
            </w:rPr>
            <w:instrText xml:space="preserve"> PAGE </w:instrText>
          </w:r>
          <w:r w:rsidRPr="000E1C2F">
            <w:rPr>
              <w:rStyle w:val="PageNumber"/>
              <w:rFonts w:cs="Times New Roman"/>
              <w:sz w:val="16"/>
              <w:szCs w:val="16"/>
            </w:rPr>
            <w:fldChar w:fldCharType="separate"/>
          </w:r>
          <w:r w:rsidRPr="000E1C2F">
            <w:rPr>
              <w:rStyle w:val="PageNumber"/>
              <w:rFonts w:cs="Times New Roman"/>
              <w:sz w:val="16"/>
              <w:szCs w:val="16"/>
            </w:rPr>
            <w:t>1</w:t>
          </w:r>
          <w:r w:rsidRPr="000E1C2F">
            <w:rPr>
              <w:rStyle w:val="PageNumber"/>
              <w:rFonts w:cs="Times New Roman"/>
              <w:sz w:val="16"/>
              <w:szCs w:val="16"/>
            </w:rPr>
            <w:fldChar w:fldCharType="end"/>
          </w:r>
          <w:r w:rsidRPr="000E1C2F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Pr="000E1C2F">
            <w:rPr>
              <w:rStyle w:val="PageNumber"/>
              <w:rFonts w:cs="Times New Roman"/>
              <w:sz w:val="16"/>
              <w:szCs w:val="16"/>
            </w:rPr>
            <w:fldChar w:fldCharType="begin"/>
          </w:r>
          <w:r w:rsidRPr="000E1C2F">
            <w:rPr>
              <w:rStyle w:val="PageNumber"/>
              <w:rFonts w:cs="Times New Roman"/>
              <w:sz w:val="16"/>
              <w:szCs w:val="16"/>
            </w:rPr>
            <w:instrText xml:space="preserve"> NUMPAGES </w:instrText>
          </w:r>
          <w:r w:rsidRPr="000E1C2F">
            <w:rPr>
              <w:rStyle w:val="PageNumber"/>
              <w:rFonts w:cs="Times New Roman"/>
              <w:sz w:val="16"/>
              <w:szCs w:val="16"/>
            </w:rPr>
            <w:fldChar w:fldCharType="separate"/>
          </w:r>
          <w:r w:rsidRPr="000E1C2F">
            <w:rPr>
              <w:rStyle w:val="PageNumber"/>
              <w:rFonts w:cs="Times New Roman"/>
              <w:sz w:val="16"/>
              <w:szCs w:val="16"/>
            </w:rPr>
            <w:t>2</w:t>
          </w:r>
          <w:r w:rsidRPr="000E1C2F">
            <w:rPr>
              <w:rStyle w:val="PageNumber"/>
              <w:rFonts w:cs="Times New Roman"/>
              <w:sz w:val="16"/>
              <w:szCs w:val="16"/>
            </w:rPr>
            <w:fldChar w:fldCharType="end"/>
          </w:r>
          <w:r w:rsidRPr="000E1C2F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  <w:tr w14:paraId="66DFF018" w14:textId="77777777" w:rsidTr="00CC73C0">
      <w:tblPrEx>
        <w:tblW w:w="5000" w:type="pct"/>
        <w:tblLook w:val="0000"/>
      </w:tblPrEx>
      <w:trPr>
        <w:cantSplit/>
        <w:trHeight w:val="370"/>
      </w:trPr>
      <w:tc>
        <w:tcPr>
          <w:tcW w:w="1779" w:type="pct"/>
          <w:gridSpan w:val="2"/>
          <w:vMerge/>
          <w:tcBorders>
            <w:bottom w:val="single" w:sz="4" w:space="0" w:color="auto"/>
            <w:right w:val="single" w:sz="4" w:space="0" w:color="auto"/>
          </w:tcBorders>
        </w:tcPr>
        <w:p w:rsidR="00820B66" w:rsidRPr="000E1C2F" w:rsidP="00820B66" w14:paraId="66DFF014" w14:textId="77777777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/>
          <w:tcBorders>
            <w:left w:val="single" w:sz="4" w:space="0" w:color="auto"/>
            <w:bottom w:val="single" w:sz="4" w:space="0" w:color="auto"/>
          </w:tcBorders>
        </w:tcPr>
        <w:p w:rsidR="00820B66" w:rsidRPr="000E1C2F" w:rsidP="00820B66" w14:paraId="66DFF015" w14:textId="77777777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820B66" w:rsidRPr="000E1C2F" w:rsidP="00820B66" w14:paraId="66DFF016" w14:textId="77777777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Apstiprināts:</w:t>
          </w:r>
        </w:p>
        <w:p w:rsidR="00820B66" w:rsidRPr="000E1C2F" w:rsidP="00820B66" w14:paraId="66DFF017" w14:textId="77777777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REG_DATUMS  \* MERGEFORMAT </w:instrText>
          </w:r>
          <w:r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30.08.2019.</w:t>
          </w:r>
          <w:r>
            <w:rPr>
              <w:rFonts w:cs="Times New Roman"/>
              <w:sz w:val="16"/>
              <w:szCs w:val="16"/>
            </w:rPr>
            <w:fldChar w:fldCharType="end"/>
          </w:r>
        </w:p>
      </w:tc>
    </w:tr>
    <w:tr w14:paraId="66DFF02A" w14:textId="77777777" w:rsidTr="00CC73C0">
      <w:tblPrEx>
        <w:tblW w:w="5000" w:type="pct"/>
        <w:tblLook w:val="0000"/>
      </w:tblPrEx>
      <w:trPr>
        <w:cantSplit/>
      </w:trPr>
      <w:tc>
        <w:tcPr>
          <w:tcW w:w="7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337DB" w:rsidP="007337DB" w14:paraId="66DFF019" w14:textId="77777777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:rsidR="007337DB" w:rsidRPr="000E1C2F" w:rsidP="007337DB" w14:paraId="66DFF01A" w14:textId="77777777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K-52-206</w:t>
          </w:r>
          <w:r>
            <w:rPr>
              <w:rFonts w:cs="Times New Roman"/>
              <w:sz w:val="16"/>
              <w:szCs w:val="16"/>
            </w:rPr>
            <w:fldChar w:fldCharType="end"/>
          </w:r>
        </w:p>
        <w:p w:rsidR="007337DB" w:rsidP="007337DB" w14:paraId="66DFF01B" w14:textId="77777777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Redakcija: </w:t>
          </w:r>
        </w:p>
        <w:p w:rsidR="007337DB" w:rsidRPr="000E1C2F" w:rsidP="007337DB" w14:paraId="66DFF01C" w14:textId="77777777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01</w:t>
          </w:r>
          <w:r>
            <w:rPr>
              <w:rFonts w:cs="Times New Roman"/>
              <w:sz w:val="16"/>
              <w:szCs w:val="16"/>
            </w:rPr>
            <w:fldChar w:fldCharType="end"/>
          </w:r>
        </w:p>
      </w:tc>
      <w:tc>
        <w:tcPr>
          <w:tcW w:w="312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337DB" w:rsidRPr="000E1C2F" w:rsidP="007337DB" w14:paraId="66DFF01D" w14:textId="77777777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Izstrādāja: </w:t>
          </w:r>
        </w:p>
        <w:p w:rsidR="007337DB" w:rsidP="007337DB" w14:paraId="66DFF01E" w14:textId="77777777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SAGATAVOTAJA1_AMATS  \* MERGEFORMAT </w:instrText>
          </w:r>
          <w:r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Projektu vadītājs</w:t>
          </w:r>
          <w:r>
            <w:rPr>
              <w:rFonts w:cs="Times New Roman"/>
              <w:sz w:val="16"/>
              <w:szCs w:val="16"/>
            </w:rPr>
            <w:fldChar w:fldCharType="end"/>
          </w:r>
          <w:r>
            <w:rPr>
              <w:rFonts w:cs="Times New Roman"/>
              <w:sz w:val="16"/>
              <w:szCs w:val="16"/>
            </w:rPr>
            <w:t xml:space="preserve"> ,  </w:t>
          </w:r>
          <w:r>
            <w:rPr>
              <w:rFonts w:cs="Times New Roman"/>
              <w:sz w:val="16"/>
              <w:szCs w:val="16"/>
            </w:rPr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SAGATAVOTAJA1_VARDS  \* MERGEFORMAT </w:instrText>
          </w:r>
          <w:r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Aleksandrs</w:t>
          </w:r>
          <w:r>
            <w:rPr>
              <w:rFonts w:cs="Times New Roman"/>
              <w:sz w:val="16"/>
              <w:szCs w:val="16"/>
            </w:rPr>
            <w:fldChar w:fldCharType="end"/>
          </w:r>
          <w:r>
            <w:rPr>
              <w:rFonts w:cs="Times New Roman"/>
              <w:sz w:val="16"/>
              <w:szCs w:val="16"/>
            </w:rPr>
            <w:t xml:space="preserve"> </w:t>
          </w:r>
          <w:r>
            <w:rPr>
              <w:rFonts w:cs="Times New Roman"/>
              <w:sz w:val="16"/>
              <w:szCs w:val="16"/>
            </w:rPr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SAGATAVOTAJA1_UZVARDS  \* MERGEFORMAT </w:instrText>
          </w:r>
          <w:r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Ļvovs</w:t>
          </w:r>
          <w:r>
            <w:rPr>
              <w:rFonts w:cs="Times New Roman"/>
              <w:sz w:val="16"/>
              <w:szCs w:val="16"/>
            </w:rPr>
            <w:fldChar w:fldCharType="end"/>
          </w:r>
        </w:p>
        <w:p w:rsidR="007337DB" w:rsidP="007337DB" w14:paraId="66DFF01F" w14:textId="77777777">
          <w:pPr>
            <w:pStyle w:val="Header"/>
            <w:rPr>
              <w:rFonts w:cs="Times New Roman"/>
              <w:sz w:val="16"/>
              <w:szCs w:val="16"/>
            </w:rPr>
          </w:pPr>
        </w:p>
        <w:p w:rsidR="007337DB" w:rsidP="007337DB" w14:paraId="66DFF020" w14:textId="77777777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Apstiprināja:</w:t>
          </w:r>
        </w:p>
        <w:p w:rsidR="007337DB" w:rsidRPr="000E1C2F" w:rsidP="007337DB" w14:paraId="66DFF021" w14:textId="77777777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PARAKSTITAJA1_AMATS  \* MERGEFORMAT </w:instrText>
          </w:r>
          <w:r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Valdes loceklis</w:t>
          </w:r>
          <w:r>
            <w:rPr>
              <w:rFonts w:cs="Times New Roman"/>
              <w:sz w:val="16"/>
              <w:szCs w:val="16"/>
            </w:rPr>
            <w:fldChar w:fldCharType="end"/>
          </w:r>
          <w:r>
            <w:rPr>
              <w:rFonts w:cs="Times New Roman"/>
              <w:sz w:val="16"/>
              <w:szCs w:val="16"/>
            </w:rPr>
            <w:t xml:space="preserve"> , </w:t>
          </w:r>
          <w:r>
            <w:rPr>
              <w:rFonts w:cs="Times New Roman"/>
              <w:sz w:val="16"/>
              <w:szCs w:val="16"/>
            </w:rPr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PARAKSTITAJA1_VARDS  \* MERGEFORMAT </w:instrText>
          </w:r>
          <w:r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Gatis</w:t>
          </w:r>
          <w:r>
            <w:rPr>
              <w:rFonts w:cs="Times New Roman"/>
              <w:sz w:val="16"/>
              <w:szCs w:val="16"/>
            </w:rPr>
            <w:fldChar w:fldCharType="end"/>
          </w:r>
          <w:r>
            <w:rPr>
              <w:rFonts w:cs="Times New Roman"/>
              <w:sz w:val="16"/>
              <w:szCs w:val="16"/>
            </w:rPr>
            <w:t xml:space="preserve"> </w:t>
          </w:r>
          <w:r>
            <w:rPr>
              <w:rFonts w:cs="Times New Roman"/>
              <w:sz w:val="16"/>
              <w:szCs w:val="16"/>
            </w:rPr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PARAKSTITAJA1_UZVARDS  \* MERGEFORMAT </w:instrText>
          </w:r>
          <w:r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Junghāns</w:t>
          </w:r>
          <w:r>
            <w:rPr>
              <w:rFonts w:cs="Times New Roman"/>
              <w:sz w:val="16"/>
              <w:szCs w:val="16"/>
            </w:rPr>
            <w:fldChar w:fldCharType="end"/>
          </w:r>
          <w:r>
            <w:rPr>
              <w:rFonts w:cs="Times New Roman"/>
              <w:sz w:val="16"/>
              <w:szCs w:val="16"/>
            </w:rPr>
            <w:t xml:space="preserve"> , </w:t>
          </w:r>
          <w:r>
            <w:rPr>
              <w:rFonts w:cs="Times New Roman"/>
              <w:sz w:val="16"/>
              <w:szCs w:val="16"/>
            </w:rPr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APSTIPR_DATUMS  \* MERGEFORMAT </w:instrText>
          </w:r>
          <w:r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30.08.2019.</w:t>
          </w:r>
          <w:r>
            <w:rPr>
              <w:rFonts w:cs="Times New Roman"/>
              <w:sz w:val="16"/>
              <w:szCs w:val="16"/>
            </w:rPr>
            <w:fldChar w:fldCharType="end"/>
          </w:r>
        </w:p>
      </w:tc>
      <w:tc>
        <w:tcPr>
          <w:tcW w:w="5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337DB" w:rsidP="007337DB" w14:paraId="66DFF022" w14:textId="77777777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 spēkā no:</w:t>
          </w:r>
        </w:p>
        <w:p w:rsidR="007337DB" w:rsidRPr="000E1C2F" w:rsidP="007337DB" w14:paraId="66DFF023" w14:textId="77777777">
          <w:pPr>
            <w:pStyle w:val="Header"/>
            <w:rPr>
              <w:rFonts w:cs="Times New Roman"/>
              <w:sz w:val="16"/>
              <w:szCs w:val="16"/>
            </w:rPr>
          </w:pPr>
        </w:p>
        <w:p w:rsidR="007337DB" w:rsidP="007337DB" w14:paraId="66DFF024" w14:textId="77777777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SPEKA_NO  \* MERGEFORMAT </w:instrText>
          </w:r>
          <w:r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01.09.2019.</w:t>
          </w:r>
          <w:r>
            <w:rPr>
              <w:rFonts w:cs="Times New Roman"/>
              <w:sz w:val="16"/>
              <w:szCs w:val="16"/>
            </w:rPr>
            <w:fldChar w:fldCharType="end"/>
          </w:r>
        </w:p>
        <w:p w:rsidR="007337DB" w:rsidRPr="000E1C2F" w:rsidP="007337DB" w14:paraId="66DFF025" w14:textId="77777777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337DB" w:rsidRPr="000E1C2F" w:rsidP="007337DB" w14:paraId="66DFF026" w14:textId="77777777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 spēkā </w:t>
          </w:r>
          <w:r>
            <w:rPr>
              <w:rFonts w:cs="Times New Roman"/>
              <w:sz w:val="16"/>
              <w:szCs w:val="16"/>
            </w:rPr>
            <w:t>līdz</w:t>
          </w:r>
          <w:r w:rsidRPr="000E1C2F">
            <w:rPr>
              <w:rFonts w:cs="Times New Roman"/>
              <w:sz w:val="16"/>
              <w:szCs w:val="16"/>
            </w:rPr>
            <w:t>:</w:t>
          </w:r>
        </w:p>
        <w:p w:rsidR="007337DB" w:rsidP="007337DB" w14:paraId="66DFF027" w14:textId="77777777">
          <w:pPr>
            <w:pStyle w:val="Header"/>
            <w:rPr>
              <w:rFonts w:cs="Times New Roman"/>
              <w:sz w:val="16"/>
              <w:szCs w:val="16"/>
            </w:rPr>
          </w:pPr>
        </w:p>
        <w:p w:rsidR="007337DB" w:rsidP="007337DB" w14:paraId="66DFF028" w14:textId="77777777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SPEKA_LIDZ  \* MERGEFORMAT </w:instrText>
          </w:r>
          <w:r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01.09.2022.</w:t>
          </w:r>
          <w:r>
            <w:rPr>
              <w:rFonts w:cs="Times New Roman"/>
              <w:sz w:val="16"/>
              <w:szCs w:val="16"/>
            </w:rPr>
            <w:fldChar w:fldCharType="end"/>
          </w:r>
        </w:p>
        <w:p w:rsidR="007337DB" w:rsidRPr="000E1C2F" w:rsidP="007337DB" w14:paraId="66DFF029" w14:textId="77777777">
          <w:pPr>
            <w:pStyle w:val="Header"/>
            <w:rPr>
              <w:rFonts w:cs="Times New Roman"/>
              <w:sz w:val="16"/>
              <w:szCs w:val="16"/>
            </w:rPr>
          </w:pPr>
        </w:p>
      </w:tc>
    </w:tr>
  </w:tbl>
  <w:p w:rsidR="00E57E7E" w:rsidP="00E37B9B" w14:paraId="66DFF02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870D88"/>
    <w:multiLevelType w:val="multilevel"/>
    <w:tmpl w:val="8F0C3D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35E70C39"/>
    <w:multiLevelType w:val="multilevel"/>
    <w:tmpl w:val="8BA4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A280C8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66"/>
    <w:rsid w:val="0001627D"/>
    <w:rsid w:val="00045DB3"/>
    <w:rsid w:val="00065361"/>
    <w:rsid w:val="000C0E4A"/>
    <w:rsid w:val="000E1C2F"/>
    <w:rsid w:val="000E3F2F"/>
    <w:rsid w:val="000F7C52"/>
    <w:rsid w:val="001053AF"/>
    <w:rsid w:val="0019625C"/>
    <w:rsid w:val="001A6828"/>
    <w:rsid w:val="00233207"/>
    <w:rsid w:val="002C7C44"/>
    <w:rsid w:val="00302E76"/>
    <w:rsid w:val="00305C54"/>
    <w:rsid w:val="0036406C"/>
    <w:rsid w:val="00385EF5"/>
    <w:rsid w:val="00394C3B"/>
    <w:rsid w:val="004128C3"/>
    <w:rsid w:val="004675CE"/>
    <w:rsid w:val="004A6AC6"/>
    <w:rsid w:val="004C0334"/>
    <w:rsid w:val="00532BD7"/>
    <w:rsid w:val="00564B15"/>
    <w:rsid w:val="00594EC6"/>
    <w:rsid w:val="005A719C"/>
    <w:rsid w:val="005F0F7D"/>
    <w:rsid w:val="006012F4"/>
    <w:rsid w:val="00674D2A"/>
    <w:rsid w:val="006A05BE"/>
    <w:rsid w:val="00721246"/>
    <w:rsid w:val="007337DB"/>
    <w:rsid w:val="007B3D26"/>
    <w:rsid w:val="00820B66"/>
    <w:rsid w:val="00853C9C"/>
    <w:rsid w:val="008F2FBE"/>
    <w:rsid w:val="008F461B"/>
    <w:rsid w:val="00991D45"/>
    <w:rsid w:val="009A4AF6"/>
    <w:rsid w:val="00A877DD"/>
    <w:rsid w:val="00B400CE"/>
    <w:rsid w:val="00B64562"/>
    <w:rsid w:val="00B664E9"/>
    <w:rsid w:val="00BD6647"/>
    <w:rsid w:val="00C467BF"/>
    <w:rsid w:val="00C60806"/>
    <w:rsid w:val="00C70B3B"/>
    <w:rsid w:val="00C92F5E"/>
    <w:rsid w:val="00CB4DEF"/>
    <w:rsid w:val="00CC73C0"/>
    <w:rsid w:val="00D40C03"/>
    <w:rsid w:val="00DC28F5"/>
    <w:rsid w:val="00E37B9B"/>
    <w:rsid w:val="00E57E7E"/>
    <w:rsid w:val="00E929B5"/>
    <w:rsid w:val="00E92B95"/>
    <w:rsid w:val="00ED556F"/>
    <w:rsid w:val="00EE09DC"/>
    <w:rsid w:val="00FF05DA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25EBD8-9E4A-4DB6-A845-DD8F5546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C5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E7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0B66"/>
  </w:style>
  <w:style w:type="paragraph" w:styleId="Footer">
    <w:name w:val="footer"/>
    <w:basedOn w:val="Normal"/>
    <w:link w:val="FooterChar"/>
    <w:uiPriority w:val="99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66"/>
  </w:style>
  <w:style w:type="character" w:styleId="PageNumber">
    <w:name w:val="page number"/>
    <w:basedOn w:val="DefaultParagraphFont"/>
    <w:rsid w:val="00820B66"/>
  </w:style>
  <w:style w:type="character" w:customStyle="1" w:styleId="Heading1Char">
    <w:name w:val="Heading 1 Char"/>
    <w:basedOn w:val="DefaultParagraphFont"/>
    <w:link w:val="Heading1"/>
    <w:uiPriority w:val="9"/>
    <w:rsid w:val="00302E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02E7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package" Target="embeddings/ooxmlPackage1.vsdx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B45849EF0276F42A6CE70F2ACFEAEBB" ma:contentTypeVersion="0" ma:contentTypeDescription="Izveidot jaunu dokumentu." ma:contentTypeScope="" ma:versionID="1a72dbca0b086828b1abafeacfa4b3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6bef76b1948cc14eb045bdecfa38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0B8CB-7CFF-4300-891B-2B7BDD1D59F9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74C15B-2F33-4D4A-95B6-01E6DBC92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DD68BF-218A-4B05-8986-17C7662A15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3C8777-8343-408E-A99D-99743087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1625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Pinčuka</dc:creator>
  <cp:lastModifiedBy>Aleksandrs Ļvovs</cp:lastModifiedBy>
  <cp:revision>14</cp:revision>
  <dcterms:created xsi:type="dcterms:W3CDTF">2018-06-05T13:02:00Z</dcterms:created>
  <dcterms:modified xsi:type="dcterms:W3CDTF">2019-08-29T12:14:00Z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_DATUMS">
    <vt:lpwstr>30.08.2019.</vt:lpwstr>
  </property>
  <property fmtid="{D5CDD505-2E9C-101B-9397-08002B2CF9AE}" pid="3" name="ContentTypeId">
    <vt:lpwstr>0x010100EB45849EF0276F42A6CE70F2ACFEAEBB</vt:lpwstr>
  </property>
  <property fmtid="{D5CDD505-2E9C-101B-9397-08002B2CF9AE}" pid="4" name="DOKUMENTS_SPEKA_NO">
    <vt:lpwstr>01.09.2019.</vt:lpwstr>
  </property>
  <property fmtid="{D5CDD505-2E9C-101B-9397-08002B2CF9AE}" pid="5" name="DOK_ANOTACIJA">
    <vt:lpwstr>Tehniskās un datu apmaiņas prasības rezervju nodrošināšanas vienībām</vt:lpwstr>
  </property>
  <property fmtid="{D5CDD505-2E9C-101B-9397-08002B2CF9AE}" pid="6" name="DOK_VEIDS">
    <vt:lpwstr>Kārtības</vt:lpwstr>
  </property>
  <property fmtid="{D5CDD505-2E9C-101B-9397-08002B2CF9AE}" pid="7" name="DOK_VERS">
    <vt:lpwstr> 01</vt:lpwstr>
  </property>
  <property fmtid="{D5CDD505-2E9C-101B-9397-08002B2CF9AE}" pid="8" name="PARAKSTITAJA1_AMATS">
    <vt:lpwstr>Valdes loceklis</vt:lpwstr>
  </property>
  <property fmtid="{D5CDD505-2E9C-101B-9397-08002B2CF9AE}" pid="9" name="PARAKSTITAJA1_UZVARDS">
    <vt:lpwstr>Junghāns</vt:lpwstr>
  </property>
  <property fmtid="{D5CDD505-2E9C-101B-9397-08002B2CF9AE}" pid="10" name="PARAKSTITAJA1_VARDS">
    <vt:lpwstr>Gatis</vt:lpwstr>
  </property>
  <property fmtid="{D5CDD505-2E9C-101B-9397-08002B2CF9AE}" pid="11" name="PROJEKTS">
    <vt:lpwstr>#PROJEKTS#</vt:lpwstr>
  </property>
  <property fmtid="{D5CDD505-2E9C-101B-9397-08002B2CF9AE}" pid="12" name="REG_DATUMS">
    <vt:lpwstr>30.08.2019.</vt:lpwstr>
  </property>
  <property fmtid="{D5CDD505-2E9C-101B-9397-08002B2CF9AE}" pid="13" name="REG_NUMURS">
    <vt:lpwstr>K-52-206</vt:lpwstr>
  </property>
  <property fmtid="{D5CDD505-2E9C-101B-9397-08002B2CF9AE}" pid="14" name="SAGATAVOTAJA1_AMATS">
    <vt:lpwstr>Projektu vadītājs</vt:lpwstr>
  </property>
  <property fmtid="{D5CDD505-2E9C-101B-9397-08002B2CF9AE}" pid="15" name="SAGATAVOTAJA1_UZVARDS">
    <vt:lpwstr>Ļvovs</vt:lpwstr>
  </property>
  <property fmtid="{D5CDD505-2E9C-101B-9397-08002B2CF9AE}" pid="16" name="SAGATAVOTAJA1_VARDS">
    <vt:lpwstr>Aleksandrs</vt:lpwstr>
  </property>
  <property fmtid="{D5CDD505-2E9C-101B-9397-08002B2CF9AE}" pid="17" name="SPEKA_LIDZ">
    <vt:lpwstr>01.09.2022.</vt:lpwstr>
  </property>
  <property fmtid="{D5CDD505-2E9C-101B-9397-08002B2CF9AE}" pid="18" name="SPEKA_NO">
    <vt:lpwstr>01.09.2019.</vt:lpwstr>
  </property>
</Properties>
</file>