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05218" w14:textId="77777777" w:rsidR="00246FF1" w:rsidRDefault="00246FF1" w:rsidP="00185AA4">
      <w:pPr>
        <w:jc w:val="right"/>
      </w:pPr>
    </w:p>
    <w:p w14:paraId="355013AF" w14:textId="031C84CC" w:rsidR="00361ABE" w:rsidRDefault="00791927" w:rsidP="00791927">
      <w:pPr>
        <w:keepNext/>
        <w:keepLines/>
        <w:autoSpaceDE w:val="0"/>
        <w:autoSpaceDN w:val="0"/>
        <w:adjustRightInd w:val="0"/>
        <w:spacing w:before="360" w:after="0" w:line="276" w:lineRule="auto"/>
        <w:jc w:val="center"/>
        <w:rPr>
          <w:rFonts w:cs="Times New Roman"/>
          <w:b/>
          <w:bCs/>
          <w:color w:val="000000"/>
          <w:sz w:val="28"/>
          <w:szCs w:val="28"/>
        </w:rPr>
      </w:pPr>
      <w:r w:rsidRPr="00791927">
        <w:rPr>
          <w:rFonts w:cs="Times New Roman"/>
          <w:b/>
          <w:bCs/>
          <w:color w:val="000000"/>
          <w:sz w:val="28"/>
          <w:szCs w:val="28"/>
        </w:rPr>
        <w:t>Kopsavilkums par akciju sabiedrības ''Augstsprieguma tīkls'' noteiktajiem elektroenerģijas pārvades sistēmas pakalpojumu diferencētajiem tarifiem no 2024.gada 1.janvāra</w:t>
      </w:r>
    </w:p>
    <w:p w14:paraId="5E19C1E2" w14:textId="77777777" w:rsidR="00791927" w:rsidRDefault="00791927" w:rsidP="00791927">
      <w:pPr>
        <w:keepNext/>
        <w:keepLines/>
        <w:autoSpaceDE w:val="0"/>
        <w:autoSpaceDN w:val="0"/>
        <w:adjustRightInd w:val="0"/>
        <w:spacing w:before="360" w:after="0" w:line="276" w:lineRule="auto"/>
        <w:jc w:val="center"/>
        <w:rPr>
          <w:rFonts w:cs="Times New Roman"/>
          <w:bCs/>
          <w:color w:val="000000"/>
          <w:sz w:val="24"/>
          <w:szCs w:val="24"/>
        </w:rPr>
      </w:pPr>
    </w:p>
    <w:p w14:paraId="743FF042" w14:textId="19BE0E0E" w:rsidR="00BF3105" w:rsidRPr="00E67876" w:rsidRDefault="00BF3105" w:rsidP="00BF3105">
      <w:pPr>
        <w:keepNext/>
        <w:keepLines/>
        <w:autoSpaceDE w:val="0"/>
        <w:autoSpaceDN w:val="0"/>
        <w:adjustRightInd w:val="0"/>
        <w:spacing w:before="120" w:after="0" w:line="276" w:lineRule="auto"/>
        <w:jc w:val="both"/>
        <w:rPr>
          <w:rFonts w:cs="Times New Roman"/>
          <w:bCs/>
          <w:color w:val="000000"/>
          <w:sz w:val="24"/>
          <w:szCs w:val="24"/>
        </w:rPr>
      </w:pPr>
      <w:r w:rsidRPr="00E67876">
        <w:rPr>
          <w:rFonts w:cs="Times New Roman"/>
          <w:bCs/>
          <w:color w:val="000000"/>
          <w:sz w:val="24"/>
          <w:szCs w:val="24"/>
        </w:rPr>
        <w:t>Akciju sabiedrībai "Augstsprieguma tīkls" (turpmāk arī – AST) ar Sabiedrisko pakalpojumu regulēšanas komisijas (turpmāk arī – SPRK) padomes 2023. gada 22. 22.maija lēmumu Nr.64 ''Par akciju sabiedrības "Augstsprieguma tīkls" elektroenerģijas pārvades sistēmas pakalpojumu tarifiem'' (turpmāk arī  - Lēmums Nr. 64) tika apstiprināti jaunie elektroenerģijas pārvades sistēmas pakalpojumu tarifi ar regulatīvo periodu no 2023. gada 1. jūlija līdz 2025. gada 31. decembrim.</w:t>
      </w:r>
    </w:p>
    <w:p w14:paraId="7325F36B" w14:textId="77777777" w:rsidR="00FC7C50" w:rsidRPr="00E67876" w:rsidRDefault="00C07678" w:rsidP="00BF3105">
      <w:pPr>
        <w:keepNext/>
        <w:keepLines/>
        <w:autoSpaceDE w:val="0"/>
        <w:autoSpaceDN w:val="0"/>
        <w:adjustRightInd w:val="0"/>
        <w:spacing w:before="120" w:after="0" w:line="276" w:lineRule="auto"/>
        <w:jc w:val="both"/>
        <w:rPr>
          <w:rFonts w:cs="Times New Roman"/>
          <w:bCs/>
          <w:color w:val="000000"/>
          <w:sz w:val="24"/>
          <w:szCs w:val="24"/>
        </w:rPr>
      </w:pPr>
      <w:r w:rsidRPr="00E67876">
        <w:rPr>
          <w:rFonts w:cs="Times New Roman"/>
          <w:bCs/>
          <w:color w:val="000000"/>
          <w:sz w:val="24"/>
          <w:szCs w:val="24"/>
        </w:rPr>
        <w:t>Ar SPRK padomes 2023.gada 16.novembra lēmumu Nr.1/12 tika apstiprināti grozījumi Elektroenerģijas pārvades sistēmas pakalpojumu tarifu aprēķināšanas metodik</w:t>
      </w:r>
      <w:r w:rsidR="00FC7C50" w:rsidRPr="00E67876">
        <w:rPr>
          <w:rFonts w:cs="Times New Roman"/>
          <w:bCs/>
          <w:color w:val="000000"/>
          <w:sz w:val="24"/>
          <w:szCs w:val="24"/>
        </w:rPr>
        <w:t>ā (turpmāk arī – Metodika), paredzot iespēju regulatīvā rēķina aprēķinā papildus iekļaut paredzamo nākamā tarifu perioda elektroenerģijas zudumu un tehnoloģiskā procesa nodrošināšanas izmaksu starpību, prognozētās inflācijas izmaiņu ietekmi, uzkrātos ieņēmumus no starpvalstu pārvades jaudas izsolēm (pārslodzes ieņēmumi), par kuriem nav pieņemts lēmums to izlietošanai.</w:t>
      </w:r>
    </w:p>
    <w:p w14:paraId="7E88A782" w14:textId="363903EE" w:rsidR="00BF3105" w:rsidRPr="00E67876" w:rsidRDefault="00BF3105" w:rsidP="00BF3105">
      <w:pPr>
        <w:keepNext/>
        <w:keepLines/>
        <w:autoSpaceDE w:val="0"/>
        <w:autoSpaceDN w:val="0"/>
        <w:adjustRightInd w:val="0"/>
        <w:spacing w:before="120" w:after="0" w:line="276" w:lineRule="auto"/>
        <w:jc w:val="both"/>
        <w:rPr>
          <w:rFonts w:cs="Times New Roman"/>
          <w:bCs/>
          <w:color w:val="000000"/>
          <w:sz w:val="24"/>
          <w:szCs w:val="24"/>
        </w:rPr>
      </w:pPr>
      <w:r w:rsidRPr="00E67876">
        <w:rPr>
          <w:rFonts w:cs="Times New Roman"/>
          <w:bCs/>
          <w:color w:val="000000"/>
          <w:sz w:val="24"/>
          <w:szCs w:val="24"/>
        </w:rPr>
        <w:t>Ievērojot</w:t>
      </w:r>
      <w:r w:rsidR="00FC7C50" w:rsidRPr="00E67876">
        <w:rPr>
          <w:rFonts w:cs="Times New Roman"/>
          <w:bCs/>
          <w:color w:val="000000"/>
          <w:sz w:val="24"/>
          <w:szCs w:val="24"/>
        </w:rPr>
        <w:t xml:space="preserve"> </w:t>
      </w:r>
      <w:r w:rsidRPr="00E67876">
        <w:rPr>
          <w:rFonts w:cs="Times New Roman"/>
          <w:bCs/>
          <w:color w:val="000000"/>
          <w:sz w:val="24"/>
          <w:szCs w:val="24"/>
        </w:rPr>
        <w:t>Metodika</w:t>
      </w:r>
      <w:r w:rsidR="00FC7C50" w:rsidRPr="00E67876">
        <w:rPr>
          <w:rFonts w:cs="Times New Roman"/>
          <w:bCs/>
          <w:color w:val="000000"/>
          <w:sz w:val="24"/>
          <w:szCs w:val="24"/>
        </w:rPr>
        <w:t xml:space="preserve">s </w:t>
      </w:r>
      <w:r w:rsidRPr="00E67876">
        <w:rPr>
          <w:rFonts w:cs="Times New Roman"/>
          <w:bCs/>
          <w:color w:val="000000"/>
          <w:sz w:val="24"/>
          <w:szCs w:val="24"/>
        </w:rPr>
        <w:t xml:space="preserve">31.2.punktu, Lēmumā Nr.64 piešķirto atļauju AST katram tarifu periodam saskaņā ar Metodikas 66.punktu pašai noteikt elektroenerģijas pārvades sistēmas pakalpojumu diferencētos tarifus, sagatavots diferencēto pārvades sistēmas pakalpojumu tarifu aprēķins nākamajam tarifu periodam no 2024.gada 1.janvāra, attiecinot regulatīvā rēķina par periodu no 2023.gada 1.jūlija līdz 2023.gada 31.decembrim atlikumu 2 381.9 </w:t>
      </w:r>
      <w:proofErr w:type="spellStart"/>
      <w:r w:rsidRPr="00E67876">
        <w:rPr>
          <w:rFonts w:cs="Times New Roman"/>
          <w:bCs/>
          <w:color w:val="000000"/>
          <w:sz w:val="24"/>
          <w:szCs w:val="24"/>
        </w:rPr>
        <w:t>tūkst.EUR</w:t>
      </w:r>
      <w:proofErr w:type="spellEnd"/>
      <w:r w:rsidRPr="00E67876">
        <w:rPr>
          <w:rFonts w:cs="Times New Roman"/>
          <w:bCs/>
          <w:color w:val="000000"/>
          <w:sz w:val="24"/>
          <w:szCs w:val="24"/>
        </w:rPr>
        <w:t xml:space="preserve"> apmērā uz nākamo tarifu periodu.</w:t>
      </w:r>
    </w:p>
    <w:p w14:paraId="66BE46AA" w14:textId="5523FC2A" w:rsidR="00C61E84" w:rsidRPr="00E67876" w:rsidRDefault="00000000" w:rsidP="002A66F9">
      <w:pPr>
        <w:keepNext/>
        <w:keepLines/>
        <w:autoSpaceDE w:val="0"/>
        <w:autoSpaceDN w:val="0"/>
        <w:adjustRightInd w:val="0"/>
        <w:spacing w:before="120" w:after="0" w:line="276" w:lineRule="auto"/>
        <w:jc w:val="both"/>
        <w:rPr>
          <w:rFonts w:cs="Times New Roman"/>
          <w:bCs/>
          <w:color w:val="000000"/>
          <w:sz w:val="24"/>
          <w:szCs w:val="24"/>
        </w:rPr>
      </w:pPr>
      <w:r w:rsidRPr="00E67876">
        <w:rPr>
          <w:rFonts w:cs="Times New Roman"/>
          <w:bCs/>
          <w:color w:val="000000"/>
          <w:sz w:val="24"/>
          <w:szCs w:val="24"/>
        </w:rPr>
        <w:t xml:space="preserve">Ievērojot </w:t>
      </w:r>
      <w:r w:rsidR="00FC7C50" w:rsidRPr="00E67876">
        <w:rPr>
          <w:rFonts w:cs="Times New Roman"/>
          <w:bCs/>
          <w:color w:val="000000"/>
          <w:sz w:val="24"/>
          <w:szCs w:val="24"/>
        </w:rPr>
        <w:t>2023.gada 16.novembra grozījumus Metodikā</w:t>
      </w:r>
      <w:r w:rsidRPr="00E67876">
        <w:rPr>
          <w:rFonts w:cs="Times New Roman"/>
          <w:bCs/>
          <w:color w:val="000000"/>
          <w:sz w:val="24"/>
          <w:szCs w:val="24"/>
        </w:rPr>
        <w:t>,</w:t>
      </w:r>
      <w:r w:rsidR="00FC7C50" w:rsidRPr="00E67876">
        <w:rPr>
          <w:rFonts w:cs="Times New Roman"/>
          <w:bCs/>
          <w:color w:val="000000"/>
          <w:sz w:val="24"/>
          <w:szCs w:val="24"/>
        </w:rPr>
        <w:t xml:space="preserve"> </w:t>
      </w:r>
      <w:r w:rsidRPr="00E67876">
        <w:rPr>
          <w:rFonts w:cs="Times New Roman"/>
          <w:bCs/>
          <w:color w:val="000000"/>
          <w:sz w:val="24"/>
          <w:szCs w:val="24"/>
        </w:rPr>
        <w:t>SPRK padomes 2023.gada 23.novembra lēmumu Nr.133 ''Par 2023.gada 22.maija lēmumā Nr.64 "Par akciju sabiedrības "Augstsprieguma tīkls" elektroenerģijas pārvades sistēmas pakalpojumu tarifiem" noteiktā regulatīvā perioda tarifu periodiem'',</w:t>
      </w:r>
      <w:r w:rsidR="00FC7C50" w:rsidRPr="00E67876">
        <w:rPr>
          <w:rFonts w:cs="Times New Roman"/>
          <w:bCs/>
          <w:color w:val="000000"/>
          <w:sz w:val="24"/>
          <w:szCs w:val="24"/>
        </w:rPr>
        <w:t xml:space="preserve"> </w:t>
      </w:r>
      <w:r w:rsidR="00C07678" w:rsidRPr="00E67876">
        <w:rPr>
          <w:bCs/>
          <w:sz w:val="24"/>
          <w:szCs w:val="24"/>
        </w:rPr>
        <w:t xml:space="preserve">AST </w:t>
      </w:r>
      <w:r w:rsidRPr="00E67876">
        <w:rPr>
          <w:bCs/>
          <w:sz w:val="24"/>
          <w:szCs w:val="24"/>
        </w:rPr>
        <w:t>2023.gada 24.novembrī iesnie</w:t>
      </w:r>
      <w:r w:rsidR="00C07678" w:rsidRPr="00E67876">
        <w:rPr>
          <w:bCs/>
          <w:sz w:val="24"/>
          <w:szCs w:val="24"/>
        </w:rPr>
        <w:t>dza</w:t>
      </w:r>
      <w:r w:rsidRPr="00E67876">
        <w:rPr>
          <w:bCs/>
          <w:sz w:val="24"/>
          <w:szCs w:val="24"/>
        </w:rPr>
        <w:t xml:space="preserve"> </w:t>
      </w:r>
      <w:r w:rsidR="00C07678" w:rsidRPr="00E67876">
        <w:rPr>
          <w:bCs/>
          <w:sz w:val="24"/>
          <w:szCs w:val="24"/>
        </w:rPr>
        <w:t>SPRK</w:t>
      </w:r>
      <w:r w:rsidRPr="00E67876">
        <w:rPr>
          <w:bCs/>
          <w:sz w:val="24"/>
          <w:szCs w:val="24"/>
        </w:rPr>
        <w:t xml:space="preserve"> regulatīv</w:t>
      </w:r>
      <w:r w:rsidR="00C07678" w:rsidRPr="00E67876">
        <w:rPr>
          <w:bCs/>
          <w:sz w:val="24"/>
          <w:szCs w:val="24"/>
        </w:rPr>
        <w:t>ā</w:t>
      </w:r>
      <w:r w:rsidRPr="00E67876">
        <w:rPr>
          <w:bCs/>
          <w:sz w:val="24"/>
          <w:szCs w:val="24"/>
        </w:rPr>
        <w:t xml:space="preserve"> rēķin</w:t>
      </w:r>
      <w:r w:rsidR="00C07678" w:rsidRPr="00E67876">
        <w:rPr>
          <w:bCs/>
          <w:sz w:val="24"/>
          <w:szCs w:val="24"/>
        </w:rPr>
        <w:t>a aprēķinu</w:t>
      </w:r>
      <w:r w:rsidRPr="00E67876">
        <w:rPr>
          <w:bCs/>
          <w:sz w:val="24"/>
          <w:szCs w:val="24"/>
        </w:rPr>
        <w:t xml:space="preserve"> par </w:t>
      </w:r>
      <w:r w:rsidR="00FC7C50" w:rsidRPr="00E67876">
        <w:rPr>
          <w:bCs/>
          <w:sz w:val="24"/>
          <w:szCs w:val="24"/>
        </w:rPr>
        <w:t xml:space="preserve">pirmo </w:t>
      </w:r>
      <w:r w:rsidRPr="00E67876">
        <w:rPr>
          <w:bCs/>
          <w:sz w:val="24"/>
          <w:szCs w:val="24"/>
        </w:rPr>
        <w:t xml:space="preserve">tarifu periodu no 2023.gada 1.jūlija līdz 2023.gada 31.decembrim, to nosakot 2 381.9 </w:t>
      </w:r>
      <w:proofErr w:type="spellStart"/>
      <w:r w:rsidRPr="00E67876">
        <w:rPr>
          <w:bCs/>
          <w:sz w:val="24"/>
          <w:szCs w:val="24"/>
        </w:rPr>
        <w:t>tūkst.EUR</w:t>
      </w:r>
      <w:proofErr w:type="spellEnd"/>
      <w:r w:rsidRPr="00E67876">
        <w:rPr>
          <w:bCs/>
          <w:sz w:val="24"/>
          <w:szCs w:val="24"/>
        </w:rPr>
        <w:t xml:space="preserve"> apmērā.</w:t>
      </w:r>
    </w:p>
    <w:p w14:paraId="2CA9E6B0" w14:textId="1FB3EAD8" w:rsidR="00C61E84" w:rsidRPr="00E67876" w:rsidRDefault="00000000" w:rsidP="00C61E84">
      <w:pPr>
        <w:spacing w:before="120" w:after="0" w:line="276" w:lineRule="auto"/>
        <w:jc w:val="both"/>
        <w:rPr>
          <w:bCs/>
          <w:sz w:val="24"/>
          <w:szCs w:val="24"/>
        </w:rPr>
      </w:pPr>
      <w:r w:rsidRPr="00E67876">
        <w:rPr>
          <w:bCs/>
          <w:sz w:val="24"/>
          <w:szCs w:val="24"/>
        </w:rPr>
        <w:t>Ņemot vērā vairākkārtējās diskusijas Saeimas Tautsaimniecības, agrārās, vides un reģionālās politikas komisijā un tās Vides un klimata apakškomisijā, kā arī Budžeta un finanšu (nodokļu) komisijā 2023.gada septembrī, oktobrī un novembrī, kuru mērķis bija nodrošināt sadales sistēmas pakalpojuma tarifa un attiecīgi arī pārvades sistēmas pakalpojuma tarifa samazinājumu, saskaņā ar Metodika</w:t>
      </w:r>
      <w:r w:rsidR="002A66F9" w:rsidRPr="00E67876">
        <w:rPr>
          <w:bCs/>
          <w:sz w:val="24"/>
          <w:szCs w:val="24"/>
        </w:rPr>
        <w:t>s</w:t>
      </w:r>
      <w:r w:rsidRPr="00E67876">
        <w:rPr>
          <w:bCs/>
          <w:sz w:val="24"/>
          <w:szCs w:val="24"/>
        </w:rPr>
        <w:t xml:space="preserve"> 69.</w:t>
      </w:r>
      <w:r w:rsidRPr="00E67876">
        <w:rPr>
          <w:rFonts w:cs="Times New Roman"/>
          <w:bCs/>
          <w:sz w:val="24"/>
          <w:szCs w:val="24"/>
        </w:rPr>
        <w:t>³</w:t>
      </w:r>
      <w:r w:rsidRPr="00E67876">
        <w:rPr>
          <w:bCs/>
          <w:sz w:val="24"/>
          <w:szCs w:val="24"/>
        </w:rPr>
        <w:t xml:space="preserve"> punktu, regulatīvajā rēķinā </w:t>
      </w:r>
      <w:r w:rsidR="00C07678" w:rsidRPr="00E67876">
        <w:rPr>
          <w:bCs/>
          <w:sz w:val="24"/>
          <w:szCs w:val="24"/>
        </w:rPr>
        <w:t xml:space="preserve">elektroenerģijas pārvades sistēmas pakalpojumu tarifu samazināšanai </w:t>
      </w:r>
      <w:r w:rsidRPr="00E67876">
        <w:rPr>
          <w:bCs/>
          <w:sz w:val="24"/>
          <w:szCs w:val="24"/>
        </w:rPr>
        <w:t xml:space="preserve">ietverti </w:t>
      </w:r>
      <w:r w:rsidR="00C07678" w:rsidRPr="00E67876">
        <w:rPr>
          <w:bCs/>
          <w:sz w:val="24"/>
          <w:szCs w:val="24"/>
        </w:rPr>
        <w:t xml:space="preserve">papildus ieņēmumu no starpvalstu pārvades jaudas izsolēm </w:t>
      </w:r>
      <w:r w:rsidRPr="00E67876">
        <w:rPr>
          <w:bCs/>
          <w:sz w:val="24"/>
          <w:szCs w:val="24"/>
        </w:rPr>
        <w:t xml:space="preserve">2 000.0 </w:t>
      </w:r>
      <w:proofErr w:type="spellStart"/>
      <w:r w:rsidRPr="00E67876">
        <w:rPr>
          <w:bCs/>
          <w:sz w:val="24"/>
          <w:szCs w:val="24"/>
        </w:rPr>
        <w:t>tūkst.EUR</w:t>
      </w:r>
      <w:proofErr w:type="spellEnd"/>
      <w:r w:rsidRPr="00E67876">
        <w:rPr>
          <w:bCs/>
          <w:sz w:val="24"/>
          <w:szCs w:val="24"/>
        </w:rPr>
        <w:t xml:space="preserve"> apmērā.</w:t>
      </w:r>
    </w:p>
    <w:p w14:paraId="2BAE39F6" w14:textId="591859DC" w:rsidR="00530F5D" w:rsidRPr="00E67876" w:rsidRDefault="00530F5D" w:rsidP="00C61E84">
      <w:pPr>
        <w:spacing w:before="120" w:after="0" w:line="276" w:lineRule="auto"/>
        <w:jc w:val="both"/>
        <w:rPr>
          <w:bCs/>
          <w:sz w:val="24"/>
          <w:szCs w:val="24"/>
        </w:rPr>
      </w:pPr>
      <w:r w:rsidRPr="00E67876">
        <w:rPr>
          <w:bCs/>
          <w:sz w:val="24"/>
          <w:szCs w:val="24"/>
        </w:rPr>
        <w:lastRenderedPageBreak/>
        <w:t>Papildus iepriekš minētajam, saskaņā ar Metodikas 28.</w:t>
      </w:r>
      <w:r w:rsidRPr="00E67876">
        <w:rPr>
          <w:rFonts w:cs="Times New Roman"/>
          <w:bCs/>
          <w:sz w:val="24"/>
          <w:szCs w:val="24"/>
        </w:rPr>
        <w:t>¹</w:t>
      </w:r>
      <w:r w:rsidRPr="00E67876">
        <w:rPr>
          <w:bCs/>
          <w:sz w:val="24"/>
          <w:szCs w:val="24"/>
        </w:rPr>
        <w:t xml:space="preserve"> punktu regulatīvā rēķina aprēķinā iekļautas aktuālās 2024.gada inflācijas prognozes, to samazinot no 2.7% (Latvijas Bankas 2023.gada marta prognozes) uz 2.3% (Latvijas Bankas 2023.gada septembra prognozes).</w:t>
      </w:r>
    </w:p>
    <w:p w14:paraId="0D03BC3E" w14:textId="77777777" w:rsidR="00C61E84" w:rsidRPr="00E67876" w:rsidRDefault="00000000" w:rsidP="00C61E84">
      <w:pPr>
        <w:spacing w:before="120" w:after="0" w:line="276" w:lineRule="auto"/>
        <w:jc w:val="both"/>
        <w:rPr>
          <w:bCs/>
          <w:sz w:val="24"/>
          <w:szCs w:val="24"/>
        </w:rPr>
      </w:pPr>
      <w:r w:rsidRPr="00E67876">
        <w:rPr>
          <w:bCs/>
          <w:sz w:val="24"/>
          <w:szCs w:val="24"/>
        </w:rPr>
        <w:t>Saskaņā ar Metodikas 31.2.punktu, ja regulatīvā rēķina atlikums ir pozitīvs, pārvades sistēmas operatoram ir pienākums attiecināt regulatīvā rēķina atlikumu uz nākamo tarifu periodu un samazināt nākamā tarifu perioda plānotos ieņēmumus, ja regulatīvā rēķina atlikums pārsniedz vienu procentu no tarifu perioda plānotajām ekspluatācijas izmaksām.</w:t>
      </w:r>
    </w:p>
    <w:p w14:paraId="5F8D7443" w14:textId="7C05CED7" w:rsidR="00D02B47" w:rsidRPr="00E67876" w:rsidRDefault="00000000" w:rsidP="00C61E84">
      <w:pPr>
        <w:spacing w:before="120" w:after="0" w:line="276" w:lineRule="auto"/>
        <w:jc w:val="both"/>
        <w:rPr>
          <w:bCs/>
          <w:sz w:val="24"/>
          <w:szCs w:val="24"/>
        </w:rPr>
      </w:pPr>
      <w:r w:rsidRPr="00E67876">
        <w:rPr>
          <w:bCs/>
          <w:sz w:val="24"/>
          <w:szCs w:val="24"/>
        </w:rPr>
        <w:t>Ievērojot augstāk minēto, to, ka regulatīvais rēķins pārsniedz 1% no tarifu perioda plānotajām ekspluatācijas izmaksām, veikti aprēķini elektroenerģijas pārvades sistēmas pakalpojumu diferencētajiem tarifiem ar spēkā stāšanos no 2024.gada 1.janvāra, attiecinot regulatīvā rēķina atlikumu uz nākamo tarifu periodu.</w:t>
      </w:r>
    </w:p>
    <w:p w14:paraId="6298D7D1" w14:textId="77777777" w:rsidR="00C07678" w:rsidRPr="00E67876" w:rsidRDefault="00C07678" w:rsidP="00C07678">
      <w:pPr>
        <w:keepNext/>
        <w:keepLines/>
        <w:autoSpaceDE w:val="0"/>
        <w:autoSpaceDN w:val="0"/>
        <w:adjustRightInd w:val="0"/>
        <w:spacing w:before="120" w:after="0" w:line="276" w:lineRule="auto"/>
        <w:jc w:val="both"/>
        <w:rPr>
          <w:rFonts w:cs="Times New Roman"/>
          <w:bCs/>
          <w:color w:val="000000"/>
          <w:sz w:val="24"/>
          <w:szCs w:val="24"/>
        </w:rPr>
      </w:pPr>
      <w:r w:rsidRPr="00E67876">
        <w:rPr>
          <w:rFonts w:cs="Times New Roman"/>
          <w:bCs/>
          <w:color w:val="000000"/>
          <w:sz w:val="24"/>
          <w:szCs w:val="24"/>
        </w:rPr>
        <w:t>Noteiktā tarifa izmaiņas pret spēkā esošo tarifu ir saistītas ar pārskatītu inflācijas prognozi nākamajam tarifu periodam, kā arī papildus ieņēmumu no starpvalstu pārvades jaudas izsolēm novirzīšanu elektroenerģijas pārvades sistēmas pakalpojumu tarifu samazināšanai.</w:t>
      </w:r>
    </w:p>
    <w:p w14:paraId="1C9C4665" w14:textId="77777777" w:rsidR="00C07678" w:rsidRPr="00E67876" w:rsidRDefault="00C07678" w:rsidP="00C07678">
      <w:pPr>
        <w:keepNext/>
        <w:keepLines/>
        <w:autoSpaceDE w:val="0"/>
        <w:autoSpaceDN w:val="0"/>
        <w:adjustRightInd w:val="0"/>
        <w:spacing w:before="120" w:after="0" w:line="276" w:lineRule="auto"/>
        <w:jc w:val="both"/>
        <w:rPr>
          <w:rFonts w:cs="Times New Roman"/>
          <w:bCs/>
          <w:color w:val="000000"/>
          <w:sz w:val="24"/>
          <w:szCs w:val="24"/>
        </w:rPr>
      </w:pPr>
      <w:r w:rsidRPr="00E67876">
        <w:rPr>
          <w:rFonts w:cs="Times New Roman"/>
          <w:bCs/>
          <w:color w:val="000000"/>
          <w:sz w:val="24"/>
          <w:szCs w:val="24"/>
        </w:rPr>
        <w:t>Atbilstoši aprēķiniem minētā izmaksu samazinājuma rezultātā vidējā pārvadītās vienības cena samazinās par 2.5%, elektroenerģijas pārvadīšanas tarifs samazinās par 4.0%, maksa par jaudas uzturēšanu samazinās par 2.0%.</w:t>
      </w:r>
    </w:p>
    <w:p w14:paraId="78B7AA2F" w14:textId="77777777" w:rsidR="000D0FE3" w:rsidRDefault="000D0FE3" w:rsidP="00530F5D">
      <w:pPr>
        <w:pStyle w:val="BodyText"/>
        <w:widowControl/>
        <w:autoSpaceDE/>
        <w:autoSpaceDN/>
        <w:adjustRightInd/>
        <w:spacing w:before="120" w:line="276" w:lineRule="auto"/>
        <w:jc w:val="left"/>
        <w:rPr>
          <w:lang w:val="lv-LV" w:eastAsia="lv-LV"/>
        </w:rPr>
      </w:pPr>
    </w:p>
    <w:p w14:paraId="20E0582B" w14:textId="77777777" w:rsidR="000D0FE3" w:rsidRDefault="000D0FE3" w:rsidP="00530F5D">
      <w:pPr>
        <w:pStyle w:val="BodyText"/>
        <w:widowControl/>
        <w:autoSpaceDE/>
        <w:autoSpaceDN/>
        <w:adjustRightInd/>
        <w:spacing w:before="120" w:line="276" w:lineRule="auto"/>
        <w:jc w:val="left"/>
        <w:rPr>
          <w:lang w:val="lv-LV" w:eastAsia="lv-LV"/>
        </w:rPr>
      </w:pPr>
    </w:p>
    <w:p w14:paraId="61E236C7" w14:textId="77777777" w:rsidR="000D0FE3" w:rsidRDefault="000D0FE3" w:rsidP="00530F5D">
      <w:pPr>
        <w:pStyle w:val="BodyText"/>
        <w:widowControl/>
        <w:autoSpaceDE/>
        <w:autoSpaceDN/>
        <w:adjustRightInd/>
        <w:spacing w:before="120" w:line="276" w:lineRule="auto"/>
        <w:jc w:val="left"/>
        <w:rPr>
          <w:lang w:val="lv-LV" w:eastAsia="lv-LV"/>
        </w:rPr>
      </w:pPr>
    </w:p>
    <w:p w14:paraId="788E89C0" w14:textId="77777777" w:rsidR="000D0FE3" w:rsidRDefault="000D0FE3" w:rsidP="00530F5D">
      <w:pPr>
        <w:pStyle w:val="BodyText"/>
        <w:widowControl/>
        <w:autoSpaceDE/>
        <w:autoSpaceDN/>
        <w:adjustRightInd/>
        <w:spacing w:before="120" w:line="276" w:lineRule="auto"/>
        <w:jc w:val="left"/>
        <w:rPr>
          <w:lang w:val="lv-LV" w:eastAsia="lv-LV"/>
        </w:rPr>
      </w:pPr>
    </w:p>
    <w:p w14:paraId="43EA4426" w14:textId="77777777" w:rsidR="000D0FE3" w:rsidRDefault="000D0FE3" w:rsidP="00530F5D">
      <w:pPr>
        <w:pStyle w:val="BodyText"/>
        <w:widowControl/>
        <w:autoSpaceDE/>
        <w:autoSpaceDN/>
        <w:adjustRightInd/>
        <w:spacing w:before="120" w:line="276" w:lineRule="auto"/>
        <w:jc w:val="left"/>
        <w:rPr>
          <w:lang w:val="lv-LV" w:eastAsia="lv-LV"/>
        </w:rPr>
      </w:pPr>
    </w:p>
    <w:p w14:paraId="32C1A478" w14:textId="77777777" w:rsidR="000D0FE3" w:rsidRDefault="000D0FE3" w:rsidP="00530F5D">
      <w:pPr>
        <w:pStyle w:val="BodyText"/>
        <w:widowControl/>
        <w:autoSpaceDE/>
        <w:autoSpaceDN/>
        <w:adjustRightInd/>
        <w:spacing w:before="120" w:line="276" w:lineRule="auto"/>
        <w:jc w:val="left"/>
        <w:rPr>
          <w:lang w:val="lv-LV" w:eastAsia="lv-LV"/>
        </w:rPr>
      </w:pPr>
    </w:p>
    <w:p w14:paraId="35DE6F8E" w14:textId="77777777" w:rsidR="000D0FE3" w:rsidRDefault="000D0FE3" w:rsidP="00530F5D">
      <w:pPr>
        <w:pStyle w:val="BodyText"/>
        <w:widowControl/>
        <w:autoSpaceDE/>
        <w:autoSpaceDN/>
        <w:adjustRightInd/>
        <w:spacing w:before="120" w:line="276" w:lineRule="auto"/>
        <w:jc w:val="left"/>
        <w:rPr>
          <w:lang w:val="lv-LV" w:eastAsia="lv-LV"/>
        </w:rPr>
      </w:pPr>
    </w:p>
    <w:p w14:paraId="5CD8E192" w14:textId="77777777" w:rsidR="000D0FE3" w:rsidRDefault="000D0FE3" w:rsidP="00530F5D">
      <w:pPr>
        <w:pStyle w:val="BodyText"/>
        <w:widowControl/>
        <w:autoSpaceDE/>
        <w:autoSpaceDN/>
        <w:adjustRightInd/>
        <w:spacing w:before="120" w:line="276" w:lineRule="auto"/>
        <w:jc w:val="left"/>
        <w:rPr>
          <w:lang w:val="lv-LV" w:eastAsia="lv-LV"/>
        </w:rPr>
      </w:pPr>
    </w:p>
    <w:p w14:paraId="016928F1" w14:textId="77777777" w:rsidR="000D0FE3" w:rsidRDefault="000D0FE3" w:rsidP="00530F5D">
      <w:pPr>
        <w:pStyle w:val="BodyText"/>
        <w:widowControl/>
        <w:autoSpaceDE/>
        <w:autoSpaceDN/>
        <w:adjustRightInd/>
        <w:spacing w:before="120" w:line="276" w:lineRule="auto"/>
        <w:jc w:val="left"/>
        <w:rPr>
          <w:lang w:val="lv-LV" w:eastAsia="lv-LV"/>
        </w:rPr>
      </w:pPr>
    </w:p>
    <w:p w14:paraId="4F7563E6" w14:textId="77777777" w:rsidR="000D0FE3" w:rsidRDefault="000D0FE3" w:rsidP="00530F5D">
      <w:pPr>
        <w:pStyle w:val="BodyText"/>
        <w:widowControl/>
        <w:autoSpaceDE/>
        <w:autoSpaceDN/>
        <w:adjustRightInd/>
        <w:spacing w:before="120" w:line="276" w:lineRule="auto"/>
        <w:jc w:val="left"/>
        <w:rPr>
          <w:lang w:val="lv-LV" w:eastAsia="lv-LV"/>
        </w:rPr>
      </w:pPr>
    </w:p>
    <w:p w14:paraId="6C68D2CA" w14:textId="77777777" w:rsidR="000D0FE3" w:rsidRDefault="000D0FE3" w:rsidP="00530F5D">
      <w:pPr>
        <w:pStyle w:val="BodyText"/>
        <w:widowControl/>
        <w:autoSpaceDE/>
        <w:autoSpaceDN/>
        <w:adjustRightInd/>
        <w:spacing w:before="120" w:line="276" w:lineRule="auto"/>
        <w:jc w:val="left"/>
        <w:rPr>
          <w:lang w:val="lv-LV" w:eastAsia="lv-LV"/>
        </w:rPr>
      </w:pPr>
    </w:p>
    <w:p w14:paraId="15A9BCA8" w14:textId="77777777" w:rsidR="000D0FE3" w:rsidRDefault="000D0FE3" w:rsidP="00530F5D">
      <w:pPr>
        <w:pStyle w:val="BodyText"/>
        <w:widowControl/>
        <w:autoSpaceDE/>
        <w:autoSpaceDN/>
        <w:adjustRightInd/>
        <w:spacing w:before="120" w:line="276" w:lineRule="auto"/>
        <w:jc w:val="left"/>
        <w:rPr>
          <w:lang w:val="lv-LV" w:eastAsia="lv-LV"/>
        </w:rPr>
      </w:pPr>
    </w:p>
    <w:p w14:paraId="2D52E77A" w14:textId="77777777" w:rsidR="000D0FE3" w:rsidRDefault="000D0FE3" w:rsidP="00530F5D">
      <w:pPr>
        <w:pStyle w:val="BodyText"/>
        <w:widowControl/>
        <w:autoSpaceDE/>
        <w:autoSpaceDN/>
        <w:adjustRightInd/>
        <w:spacing w:before="120" w:line="276" w:lineRule="auto"/>
        <w:jc w:val="left"/>
        <w:rPr>
          <w:lang w:val="lv-LV" w:eastAsia="lv-LV"/>
        </w:rPr>
      </w:pPr>
    </w:p>
    <w:p w14:paraId="36F41C5F" w14:textId="77777777" w:rsidR="000D0FE3" w:rsidRDefault="000D0FE3" w:rsidP="00530F5D">
      <w:pPr>
        <w:pStyle w:val="BodyText"/>
        <w:widowControl/>
        <w:autoSpaceDE/>
        <w:autoSpaceDN/>
        <w:adjustRightInd/>
        <w:spacing w:before="120" w:line="276" w:lineRule="auto"/>
        <w:jc w:val="left"/>
        <w:rPr>
          <w:lang w:val="lv-LV" w:eastAsia="lv-LV"/>
        </w:rPr>
      </w:pPr>
    </w:p>
    <w:p w14:paraId="39608154" w14:textId="77777777" w:rsidR="000D0FE3" w:rsidRDefault="000D0FE3" w:rsidP="00530F5D">
      <w:pPr>
        <w:pStyle w:val="BodyText"/>
        <w:widowControl/>
        <w:autoSpaceDE/>
        <w:autoSpaceDN/>
        <w:adjustRightInd/>
        <w:spacing w:before="120" w:line="276" w:lineRule="auto"/>
        <w:jc w:val="left"/>
        <w:rPr>
          <w:lang w:val="lv-LV" w:eastAsia="lv-LV"/>
        </w:rPr>
      </w:pPr>
    </w:p>
    <w:p w14:paraId="4AF2FB8C" w14:textId="435F6039" w:rsidR="00530F5D" w:rsidRDefault="00530F5D" w:rsidP="00530F5D">
      <w:pPr>
        <w:pStyle w:val="BodyText"/>
        <w:widowControl/>
        <w:autoSpaceDE/>
        <w:autoSpaceDN/>
        <w:adjustRightInd/>
        <w:spacing w:before="120" w:line="276" w:lineRule="auto"/>
        <w:jc w:val="left"/>
        <w:rPr>
          <w:lang w:val="lv-LV" w:eastAsia="lv-LV"/>
        </w:rPr>
      </w:pPr>
      <w:r>
        <w:rPr>
          <w:lang w:val="lv-LV" w:eastAsia="lv-LV"/>
        </w:rPr>
        <w:lastRenderedPageBreak/>
        <w:t>Izmaksu kopsavilkums, ņemot vērā regul</w:t>
      </w:r>
      <w:r w:rsidR="000D0FE3">
        <w:rPr>
          <w:lang w:val="lv-LV" w:eastAsia="lv-LV"/>
        </w:rPr>
        <w:t>a</w:t>
      </w:r>
      <w:r>
        <w:rPr>
          <w:lang w:val="lv-LV" w:eastAsia="lv-LV"/>
        </w:rPr>
        <w:t xml:space="preserve">tīvo rēķinu par pirmo tarifu periodu no 2023.gada 1.jūlija līdz 2023.gada 31.decembrim, </w:t>
      </w:r>
      <w:proofErr w:type="spellStart"/>
      <w:r>
        <w:rPr>
          <w:lang w:val="lv-LV" w:eastAsia="lv-LV"/>
        </w:rPr>
        <w:t>tūkst.EUR</w:t>
      </w:r>
      <w:proofErr w:type="spellEnd"/>
    </w:p>
    <w:tbl>
      <w:tblPr>
        <w:tblW w:w="84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417"/>
        <w:gridCol w:w="1418"/>
        <w:gridCol w:w="1057"/>
        <w:gridCol w:w="1120"/>
      </w:tblGrid>
      <w:tr w:rsidR="000D0FE3" w:rsidRPr="00F77EBC" w14:paraId="07098DAA" w14:textId="77777777" w:rsidTr="000D0FE3">
        <w:trPr>
          <w:trHeight w:val="480"/>
        </w:trPr>
        <w:tc>
          <w:tcPr>
            <w:tcW w:w="3402" w:type="dxa"/>
            <w:shd w:val="clear" w:color="auto" w:fill="D9D9D9"/>
            <w:noWrap/>
            <w:vAlign w:val="center"/>
          </w:tcPr>
          <w:p w14:paraId="4763D0C3" w14:textId="77777777" w:rsidR="000D0FE3" w:rsidRPr="00F77EBC" w:rsidRDefault="000D0FE3" w:rsidP="000D0FE3">
            <w:pPr>
              <w:spacing w:after="0" w:line="240" w:lineRule="auto"/>
              <w:jc w:val="center"/>
              <w:rPr>
                <w:b/>
                <w:bCs/>
                <w:sz w:val="18"/>
                <w:szCs w:val="18"/>
              </w:rPr>
            </w:pPr>
          </w:p>
        </w:tc>
        <w:tc>
          <w:tcPr>
            <w:tcW w:w="1417" w:type="dxa"/>
            <w:shd w:val="clear" w:color="auto" w:fill="D9D9D9"/>
            <w:noWrap/>
            <w:vAlign w:val="center"/>
          </w:tcPr>
          <w:p w14:paraId="5B4CA467" w14:textId="77777777" w:rsidR="000D0FE3" w:rsidRPr="00F77EBC" w:rsidRDefault="000D0FE3" w:rsidP="000D0FE3">
            <w:pPr>
              <w:spacing w:after="0" w:line="240" w:lineRule="auto"/>
              <w:jc w:val="center"/>
              <w:rPr>
                <w:b/>
                <w:bCs/>
                <w:sz w:val="18"/>
                <w:szCs w:val="18"/>
              </w:rPr>
            </w:pPr>
            <w:r w:rsidRPr="00F77EBC">
              <w:rPr>
                <w:b/>
                <w:bCs/>
                <w:sz w:val="18"/>
                <w:szCs w:val="18"/>
              </w:rPr>
              <w:t>Spēkā esošais tarifs</w:t>
            </w:r>
          </w:p>
        </w:tc>
        <w:tc>
          <w:tcPr>
            <w:tcW w:w="1418" w:type="dxa"/>
            <w:shd w:val="clear" w:color="auto" w:fill="D9D9D9"/>
            <w:noWrap/>
            <w:vAlign w:val="center"/>
          </w:tcPr>
          <w:p w14:paraId="264BDBE9" w14:textId="7EB6A2A2" w:rsidR="000D0FE3" w:rsidRPr="00F77EBC" w:rsidRDefault="000D0FE3" w:rsidP="000D0FE3">
            <w:pPr>
              <w:spacing w:after="0" w:line="240" w:lineRule="auto"/>
              <w:jc w:val="center"/>
              <w:rPr>
                <w:b/>
                <w:bCs/>
                <w:sz w:val="18"/>
                <w:szCs w:val="18"/>
              </w:rPr>
            </w:pPr>
            <w:r>
              <w:rPr>
                <w:b/>
                <w:bCs/>
                <w:sz w:val="18"/>
                <w:szCs w:val="18"/>
              </w:rPr>
              <w:t>Diferencētie tarifi no 01.01.2024.</w:t>
            </w:r>
          </w:p>
        </w:tc>
        <w:tc>
          <w:tcPr>
            <w:tcW w:w="2177" w:type="dxa"/>
            <w:gridSpan w:val="2"/>
            <w:shd w:val="clear" w:color="auto" w:fill="D9D9D9"/>
            <w:noWrap/>
            <w:vAlign w:val="center"/>
          </w:tcPr>
          <w:p w14:paraId="474040FA" w14:textId="3BD03471" w:rsidR="000D0FE3" w:rsidRPr="00F77EBC" w:rsidRDefault="000C3ADC" w:rsidP="000D0FE3">
            <w:pPr>
              <w:spacing w:after="0" w:line="240" w:lineRule="auto"/>
              <w:jc w:val="center"/>
              <w:rPr>
                <w:b/>
                <w:bCs/>
                <w:sz w:val="18"/>
                <w:szCs w:val="18"/>
              </w:rPr>
            </w:pPr>
            <w:r>
              <w:rPr>
                <w:b/>
                <w:bCs/>
                <w:sz w:val="18"/>
                <w:szCs w:val="18"/>
              </w:rPr>
              <w:t>Diferencētie tarifi no 01.01.2024.</w:t>
            </w:r>
            <w:r w:rsidR="000D0FE3" w:rsidRPr="00F77EBC">
              <w:rPr>
                <w:b/>
                <w:bCs/>
                <w:sz w:val="18"/>
                <w:szCs w:val="18"/>
              </w:rPr>
              <w:t>/ spēkā esošais tarifs</w:t>
            </w:r>
          </w:p>
        </w:tc>
      </w:tr>
      <w:tr w:rsidR="000D0FE3" w:rsidRPr="00F77EBC" w14:paraId="39DA72B9" w14:textId="77777777" w:rsidTr="000D0FE3">
        <w:trPr>
          <w:trHeight w:val="321"/>
        </w:trPr>
        <w:tc>
          <w:tcPr>
            <w:tcW w:w="3402" w:type="dxa"/>
            <w:shd w:val="clear" w:color="auto" w:fill="auto"/>
            <w:noWrap/>
            <w:vAlign w:val="center"/>
            <w:hideMark/>
          </w:tcPr>
          <w:p w14:paraId="148C7A3E" w14:textId="77777777" w:rsidR="000D0FE3" w:rsidRPr="00F77EBC" w:rsidRDefault="000D0FE3" w:rsidP="000D0FE3">
            <w:pPr>
              <w:spacing w:after="0" w:line="240" w:lineRule="auto"/>
              <w:rPr>
                <w:sz w:val="18"/>
                <w:szCs w:val="18"/>
              </w:rPr>
            </w:pPr>
            <w:r w:rsidRPr="00F77EBC">
              <w:rPr>
                <w:sz w:val="18"/>
                <w:szCs w:val="18"/>
              </w:rPr>
              <w:t>Kapitāla izmaksas kopā</w:t>
            </w:r>
          </w:p>
        </w:tc>
        <w:tc>
          <w:tcPr>
            <w:tcW w:w="1417" w:type="dxa"/>
            <w:shd w:val="clear" w:color="auto" w:fill="auto"/>
            <w:noWrap/>
            <w:vAlign w:val="center"/>
          </w:tcPr>
          <w:p w14:paraId="6C3A5AF0" w14:textId="12A9EA21" w:rsidR="000D0FE3" w:rsidRPr="00F77EBC" w:rsidRDefault="000D0FE3" w:rsidP="000D0FE3">
            <w:pPr>
              <w:spacing w:after="0" w:line="240" w:lineRule="auto"/>
              <w:jc w:val="right"/>
              <w:rPr>
                <w:sz w:val="18"/>
                <w:szCs w:val="18"/>
              </w:rPr>
            </w:pPr>
            <w:r>
              <w:rPr>
                <w:sz w:val="18"/>
                <w:szCs w:val="18"/>
              </w:rPr>
              <w:t>34 266.3</w:t>
            </w:r>
          </w:p>
        </w:tc>
        <w:tc>
          <w:tcPr>
            <w:tcW w:w="1418" w:type="dxa"/>
            <w:shd w:val="clear" w:color="auto" w:fill="auto"/>
            <w:noWrap/>
            <w:vAlign w:val="center"/>
          </w:tcPr>
          <w:p w14:paraId="15BF8ECB" w14:textId="71D11B2B" w:rsidR="000D0FE3" w:rsidRPr="00F77EBC" w:rsidRDefault="000D0FE3" w:rsidP="000D0FE3">
            <w:pPr>
              <w:spacing w:after="0" w:line="240" w:lineRule="auto"/>
              <w:jc w:val="right"/>
              <w:rPr>
                <w:sz w:val="18"/>
                <w:szCs w:val="18"/>
              </w:rPr>
            </w:pPr>
            <w:r>
              <w:rPr>
                <w:sz w:val="18"/>
                <w:szCs w:val="18"/>
              </w:rPr>
              <w:t>34 266.3</w:t>
            </w:r>
          </w:p>
        </w:tc>
        <w:tc>
          <w:tcPr>
            <w:tcW w:w="1057" w:type="dxa"/>
            <w:shd w:val="clear" w:color="auto" w:fill="auto"/>
            <w:noWrap/>
            <w:vAlign w:val="center"/>
          </w:tcPr>
          <w:p w14:paraId="70D5C0E8" w14:textId="7E0C2DDD" w:rsidR="000D0FE3" w:rsidRPr="00F77EBC" w:rsidRDefault="000D0FE3" w:rsidP="000D0FE3">
            <w:pPr>
              <w:spacing w:after="0" w:line="240" w:lineRule="auto"/>
              <w:jc w:val="right"/>
              <w:rPr>
                <w:sz w:val="18"/>
                <w:szCs w:val="18"/>
              </w:rPr>
            </w:pPr>
            <w:r>
              <w:rPr>
                <w:sz w:val="18"/>
                <w:szCs w:val="18"/>
              </w:rPr>
              <w:t>-</w:t>
            </w:r>
          </w:p>
        </w:tc>
        <w:tc>
          <w:tcPr>
            <w:tcW w:w="1120" w:type="dxa"/>
            <w:shd w:val="clear" w:color="auto" w:fill="auto"/>
            <w:noWrap/>
            <w:vAlign w:val="center"/>
          </w:tcPr>
          <w:p w14:paraId="53568934" w14:textId="34487132" w:rsidR="000D0FE3" w:rsidRPr="00F77EBC" w:rsidRDefault="000D0FE3" w:rsidP="000D0FE3">
            <w:pPr>
              <w:spacing w:after="0" w:line="240" w:lineRule="auto"/>
              <w:jc w:val="right"/>
              <w:rPr>
                <w:sz w:val="18"/>
                <w:szCs w:val="18"/>
              </w:rPr>
            </w:pPr>
            <w:r>
              <w:rPr>
                <w:sz w:val="18"/>
                <w:szCs w:val="18"/>
              </w:rPr>
              <w:t>-</w:t>
            </w:r>
          </w:p>
        </w:tc>
      </w:tr>
      <w:tr w:rsidR="000D0FE3" w:rsidRPr="00F77EBC" w14:paraId="6BF05E31" w14:textId="77777777" w:rsidTr="000D0FE3">
        <w:trPr>
          <w:trHeight w:val="411"/>
        </w:trPr>
        <w:tc>
          <w:tcPr>
            <w:tcW w:w="3402" w:type="dxa"/>
            <w:shd w:val="clear" w:color="auto" w:fill="auto"/>
            <w:noWrap/>
            <w:vAlign w:val="center"/>
            <w:hideMark/>
          </w:tcPr>
          <w:p w14:paraId="0C6FED17" w14:textId="77777777" w:rsidR="000D0FE3" w:rsidRPr="00F77EBC" w:rsidRDefault="000D0FE3" w:rsidP="000D0FE3">
            <w:pPr>
              <w:spacing w:after="0" w:line="240" w:lineRule="auto"/>
              <w:rPr>
                <w:sz w:val="18"/>
                <w:szCs w:val="18"/>
              </w:rPr>
            </w:pPr>
            <w:r w:rsidRPr="00F77EBC">
              <w:rPr>
                <w:sz w:val="18"/>
                <w:szCs w:val="18"/>
              </w:rPr>
              <w:t>Nodokļi kopā</w:t>
            </w:r>
          </w:p>
        </w:tc>
        <w:tc>
          <w:tcPr>
            <w:tcW w:w="1417" w:type="dxa"/>
            <w:shd w:val="clear" w:color="auto" w:fill="auto"/>
            <w:noWrap/>
            <w:vAlign w:val="center"/>
          </w:tcPr>
          <w:p w14:paraId="3CE74294" w14:textId="353B42F5" w:rsidR="000D0FE3" w:rsidRPr="00F77EBC" w:rsidRDefault="000D0FE3" w:rsidP="000D0FE3">
            <w:pPr>
              <w:spacing w:after="0" w:line="240" w:lineRule="auto"/>
              <w:jc w:val="right"/>
              <w:rPr>
                <w:sz w:val="18"/>
                <w:szCs w:val="18"/>
              </w:rPr>
            </w:pPr>
            <w:r>
              <w:rPr>
                <w:sz w:val="18"/>
                <w:szCs w:val="18"/>
              </w:rPr>
              <w:t>104.9</w:t>
            </w:r>
          </w:p>
        </w:tc>
        <w:tc>
          <w:tcPr>
            <w:tcW w:w="1418" w:type="dxa"/>
            <w:shd w:val="clear" w:color="auto" w:fill="auto"/>
            <w:noWrap/>
            <w:vAlign w:val="center"/>
          </w:tcPr>
          <w:p w14:paraId="0EF1FC96" w14:textId="2C028C24" w:rsidR="000D0FE3" w:rsidRPr="00F77EBC" w:rsidRDefault="000D0FE3" w:rsidP="000D0FE3">
            <w:pPr>
              <w:spacing w:after="0" w:line="240" w:lineRule="auto"/>
              <w:jc w:val="right"/>
              <w:rPr>
                <w:sz w:val="18"/>
                <w:szCs w:val="18"/>
              </w:rPr>
            </w:pPr>
            <w:r>
              <w:rPr>
                <w:sz w:val="18"/>
                <w:szCs w:val="18"/>
              </w:rPr>
              <w:t>104.9</w:t>
            </w:r>
          </w:p>
        </w:tc>
        <w:tc>
          <w:tcPr>
            <w:tcW w:w="1057" w:type="dxa"/>
            <w:shd w:val="clear" w:color="auto" w:fill="auto"/>
            <w:noWrap/>
            <w:vAlign w:val="center"/>
          </w:tcPr>
          <w:p w14:paraId="7473D1A4" w14:textId="78C719A4" w:rsidR="000D0FE3" w:rsidRPr="00F77EBC" w:rsidRDefault="000D0FE3" w:rsidP="000D0FE3">
            <w:pPr>
              <w:spacing w:after="0" w:line="240" w:lineRule="auto"/>
              <w:jc w:val="right"/>
              <w:rPr>
                <w:sz w:val="18"/>
                <w:szCs w:val="18"/>
              </w:rPr>
            </w:pPr>
            <w:r>
              <w:rPr>
                <w:sz w:val="18"/>
                <w:szCs w:val="18"/>
              </w:rPr>
              <w:t>-</w:t>
            </w:r>
          </w:p>
        </w:tc>
        <w:tc>
          <w:tcPr>
            <w:tcW w:w="1120" w:type="dxa"/>
            <w:shd w:val="clear" w:color="auto" w:fill="auto"/>
            <w:noWrap/>
            <w:vAlign w:val="center"/>
          </w:tcPr>
          <w:p w14:paraId="1A3E87E7" w14:textId="092F9D3F" w:rsidR="000D0FE3" w:rsidRPr="00F77EBC" w:rsidRDefault="000D0FE3" w:rsidP="000D0FE3">
            <w:pPr>
              <w:spacing w:after="0" w:line="240" w:lineRule="auto"/>
              <w:jc w:val="right"/>
              <w:rPr>
                <w:sz w:val="18"/>
                <w:szCs w:val="18"/>
              </w:rPr>
            </w:pPr>
            <w:r>
              <w:rPr>
                <w:sz w:val="18"/>
                <w:szCs w:val="18"/>
              </w:rPr>
              <w:t>-</w:t>
            </w:r>
          </w:p>
        </w:tc>
      </w:tr>
      <w:tr w:rsidR="000D0FE3" w:rsidRPr="00F77EBC" w14:paraId="185CE080" w14:textId="77777777" w:rsidTr="000D0FE3">
        <w:trPr>
          <w:trHeight w:val="255"/>
        </w:trPr>
        <w:tc>
          <w:tcPr>
            <w:tcW w:w="3402" w:type="dxa"/>
            <w:shd w:val="clear" w:color="auto" w:fill="auto"/>
            <w:noWrap/>
            <w:vAlign w:val="center"/>
            <w:hideMark/>
          </w:tcPr>
          <w:p w14:paraId="7F5A5D42" w14:textId="77777777" w:rsidR="000D0FE3" w:rsidRPr="00F77EBC" w:rsidRDefault="000D0FE3" w:rsidP="000D0FE3">
            <w:pPr>
              <w:spacing w:after="0" w:line="240" w:lineRule="auto"/>
              <w:rPr>
                <w:sz w:val="18"/>
                <w:szCs w:val="18"/>
              </w:rPr>
            </w:pPr>
            <w:r w:rsidRPr="00F77EBC">
              <w:rPr>
                <w:sz w:val="18"/>
                <w:szCs w:val="18"/>
              </w:rPr>
              <w:t>Personāla un sociālās izmaksas</w:t>
            </w:r>
          </w:p>
        </w:tc>
        <w:tc>
          <w:tcPr>
            <w:tcW w:w="1417" w:type="dxa"/>
            <w:shd w:val="clear" w:color="auto" w:fill="auto"/>
            <w:noWrap/>
            <w:vAlign w:val="center"/>
          </w:tcPr>
          <w:p w14:paraId="48B896B3" w14:textId="6704608B" w:rsidR="000D0FE3" w:rsidRPr="00F77EBC" w:rsidRDefault="000D0FE3" w:rsidP="000D0FE3">
            <w:pPr>
              <w:spacing w:after="0" w:line="240" w:lineRule="auto"/>
              <w:jc w:val="right"/>
              <w:rPr>
                <w:sz w:val="18"/>
                <w:szCs w:val="18"/>
              </w:rPr>
            </w:pPr>
            <w:r>
              <w:rPr>
                <w:sz w:val="18"/>
                <w:szCs w:val="18"/>
              </w:rPr>
              <w:t>23 691.8</w:t>
            </w:r>
          </w:p>
        </w:tc>
        <w:tc>
          <w:tcPr>
            <w:tcW w:w="1418" w:type="dxa"/>
            <w:shd w:val="clear" w:color="auto" w:fill="auto"/>
            <w:noWrap/>
            <w:vAlign w:val="center"/>
          </w:tcPr>
          <w:p w14:paraId="6C7A3641" w14:textId="7A4D83EC" w:rsidR="000D0FE3" w:rsidRPr="00F77EBC" w:rsidRDefault="000D0FE3" w:rsidP="000D0FE3">
            <w:pPr>
              <w:spacing w:after="0" w:line="240" w:lineRule="auto"/>
              <w:jc w:val="right"/>
              <w:rPr>
                <w:sz w:val="18"/>
                <w:szCs w:val="18"/>
              </w:rPr>
            </w:pPr>
            <w:r w:rsidRPr="000D0FE3">
              <w:rPr>
                <w:sz w:val="18"/>
                <w:szCs w:val="18"/>
              </w:rPr>
              <w:t>23 691.8</w:t>
            </w:r>
          </w:p>
        </w:tc>
        <w:tc>
          <w:tcPr>
            <w:tcW w:w="1057" w:type="dxa"/>
            <w:shd w:val="clear" w:color="auto" w:fill="auto"/>
            <w:noWrap/>
            <w:vAlign w:val="center"/>
          </w:tcPr>
          <w:p w14:paraId="278044AA" w14:textId="0ACAF5FE" w:rsidR="000D0FE3" w:rsidRPr="00F77EBC" w:rsidRDefault="000D0FE3" w:rsidP="000D0FE3">
            <w:pPr>
              <w:spacing w:after="0" w:line="240" w:lineRule="auto"/>
              <w:jc w:val="right"/>
              <w:rPr>
                <w:sz w:val="18"/>
                <w:szCs w:val="18"/>
              </w:rPr>
            </w:pPr>
            <w:r>
              <w:rPr>
                <w:sz w:val="18"/>
                <w:szCs w:val="18"/>
              </w:rPr>
              <w:t>-</w:t>
            </w:r>
          </w:p>
        </w:tc>
        <w:tc>
          <w:tcPr>
            <w:tcW w:w="1120" w:type="dxa"/>
            <w:shd w:val="clear" w:color="auto" w:fill="auto"/>
            <w:noWrap/>
            <w:vAlign w:val="center"/>
          </w:tcPr>
          <w:p w14:paraId="7ED6FAB5" w14:textId="274BB983" w:rsidR="000D0FE3" w:rsidRPr="00F77EBC" w:rsidRDefault="000D0FE3" w:rsidP="000D0FE3">
            <w:pPr>
              <w:spacing w:after="0" w:line="240" w:lineRule="auto"/>
              <w:jc w:val="right"/>
              <w:rPr>
                <w:sz w:val="18"/>
                <w:szCs w:val="18"/>
              </w:rPr>
            </w:pPr>
            <w:r>
              <w:rPr>
                <w:sz w:val="18"/>
                <w:szCs w:val="18"/>
              </w:rPr>
              <w:t>-</w:t>
            </w:r>
          </w:p>
        </w:tc>
      </w:tr>
      <w:tr w:rsidR="000D0FE3" w:rsidRPr="00F77EBC" w14:paraId="0CB05B00" w14:textId="77777777" w:rsidTr="000D0FE3">
        <w:trPr>
          <w:trHeight w:val="307"/>
        </w:trPr>
        <w:tc>
          <w:tcPr>
            <w:tcW w:w="3402" w:type="dxa"/>
            <w:shd w:val="clear" w:color="auto" w:fill="auto"/>
            <w:noWrap/>
            <w:vAlign w:val="center"/>
            <w:hideMark/>
          </w:tcPr>
          <w:p w14:paraId="3E1D53F5" w14:textId="77777777" w:rsidR="000D0FE3" w:rsidRPr="00F77EBC" w:rsidRDefault="000D0FE3" w:rsidP="000D0FE3">
            <w:pPr>
              <w:spacing w:after="0" w:line="240" w:lineRule="auto"/>
              <w:rPr>
                <w:sz w:val="18"/>
                <w:szCs w:val="18"/>
              </w:rPr>
            </w:pPr>
            <w:r w:rsidRPr="00F77EBC">
              <w:rPr>
                <w:sz w:val="18"/>
                <w:szCs w:val="18"/>
              </w:rPr>
              <w:t xml:space="preserve">Pārvades aktīvu uzturēšanas izmaksas </w:t>
            </w:r>
          </w:p>
        </w:tc>
        <w:tc>
          <w:tcPr>
            <w:tcW w:w="1417" w:type="dxa"/>
            <w:shd w:val="clear" w:color="auto" w:fill="auto"/>
            <w:noWrap/>
            <w:vAlign w:val="center"/>
          </w:tcPr>
          <w:p w14:paraId="062AC675" w14:textId="0AAC0102" w:rsidR="000D0FE3" w:rsidRPr="00F77EBC" w:rsidRDefault="000D0FE3" w:rsidP="000D0FE3">
            <w:pPr>
              <w:spacing w:after="0" w:line="240" w:lineRule="auto"/>
              <w:jc w:val="right"/>
              <w:rPr>
                <w:sz w:val="18"/>
                <w:szCs w:val="18"/>
              </w:rPr>
            </w:pPr>
            <w:r w:rsidRPr="000D0FE3">
              <w:rPr>
                <w:sz w:val="18"/>
                <w:szCs w:val="18"/>
              </w:rPr>
              <w:t>1 556.8</w:t>
            </w:r>
          </w:p>
        </w:tc>
        <w:tc>
          <w:tcPr>
            <w:tcW w:w="1418" w:type="dxa"/>
            <w:shd w:val="clear" w:color="auto" w:fill="auto"/>
            <w:noWrap/>
            <w:vAlign w:val="center"/>
          </w:tcPr>
          <w:p w14:paraId="320C31EC" w14:textId="109F36C1" w:rsidR="000D0FE3" w:rsidRPr="00F77EBC" w:rsidRDefault="000D0FE3" w:rsidP="000D0FE3">
            <w:pPr>
              <w:spacing w:after="0" w:line="240" w:lineRule="auto"/>
              <w:jc w:val="right"/>
              <w:rPr>
                <w:sz w:val="18"/>
                <w:szCs w:val="18"/>
              </w:rPr>
            </w:pPr>
            <w:r w:rsidRPr="000D0FE3">
              <w:rPr>
                <w:sz w:val="18"/>
                <w:szCs w:val="18"/>
              </w:rPr>
              <w:t>1 556.8</w:t>
            </w:r>
          </w:p>
        </w:tc>
        <w:tc>
          <w:tcPr>
            <w:tcW w:w="1057" w:type="dxa"/>
            <w:shd w:val="clear" w:color="auto" w:fill="auto"/>
            <w:noWrap/>
            <w:vAlign w:val="center"/>
          </w:tcPr>
          <w:p w14:paraId="18E40626" w14:textId="61F605B9" w:rsidR="000D0FE3" w:rsidRPr="00F77EBC" w:rsidRDefault="000D0FE3" w:rsidP="000D0FE3">
            <w:pPr>
              <w:spacing w:after="0" w:line="240" w:lineRule="auto"/>
              <w:jc w:val="right"/>
              <w:rPr>
                <w:sz w:val="18"/>
                <w:szCs w:val="18"/>
              </w:rPr>
            </w:pPr>
            <w:r>
              <w:rPr>
                <w:sz w:val="18"/>
                <w:szCs w:val="18"/>
              </w:rPr>
              <w:t>-</w:t>
            </w:r>
          </w:p>
        </w:tc>
        <w:tc>
          <w:tcPr>
            <w:tcW w:w="1120" w:type="dxa"/>
            <w:shd w:val="clear" w:color="auto" w:fill="auto"/>
            <w:noWrap/>
            <w:vAlign w:val="center"/>
          </w:tcPr>
          <w:p w14:paraId="7ECCAA5B" w14:textId="36466A31" w:rsidR="000D0FE3" w:rsidRPr="00F77EBC" w:rsidRDefault="000D0FE3" w:rsidP="000D0FE3">
            <w:pPr>
              <w:spacing w:after="0" w:line="240" w:lineRule="auto"/>
              <w:jc w:val="right"/>
              <w:rPr>
                <w:sz w:val="18"/>
                <w:szCs w:val="18"/>
              </w:rPr>
            </w:pPr>
            <w:r>
              <w:rPr>
                <w:sz w:val="18"/>
                <w:szCs w:val="18"/>
              </w:rPr>
              <w:t>-</w:t>
            </w:r>
          </w:p>
        </w:tc>
      </w:tr>
      <w:tr w:rsidR="000D0FE3" w:rsidRPr="00F77EBC" w14:paraId="6DD40C71" w14:textId="77777777" w:rsidTr="000D0FE3">
        <w:trPr>
          <w:trHeight w:val="255"/>
        </w:trPr>
        <w:tc>
          <w:tcPr>
            <w:tcW w:w="3402" w:type="dxa"/>
            <w:shd w:val="clear" w:color="auto" w:fill="auto"/>
            <w:noWrap/>
            <w:vAlign w:val="center"/>
            <w:hideMark/>
          </w:tcPr>
          <w:p w14:paraId="649FBEE1" w14:textId="77777777" w:rsidR="000D0FE3" w:rsidRPr="00F77EBC" w:rsidRDefault="000D0FE3" w:rsidP="000D0FE3">
            <w:pPr>
              <w:spacing w:after="0" w:line="240" w:lineRule="auto"/>
              <w:rPr>
                <w:sz w:val="18"/>
                <w:szCs w:val="18"/>
              </w:rPr>
            </w:pPr>
            <w:r w:rsidRPr="00F77EBC">
              <w:rPr>
                <w:sz w:val="18"/>
                <w:szCs w:val="18"/>
              </w:rPr>
              <w:t>Pārējās saimnieciskās darbības izmaksas</w:t>
            </w:r>
          </w:p>
        </w:tc>
        <w:tc>
          <w:tcPr>
            <w:tcW w:w="1417" w:type="dxa"/>
            <w:shd w:val="clear" w:color="auto" w:fill="auto"/>
            <w:noWrap/>
            <w:vAlign w:val="center"/>
          </w:tcPr>
          <w:p w14:paraId="5F6A9A33" w14:textId="78ECD2E3" w:rsidR="000D0FE3" w:rsidRPr="00F77EBC" w:rsidRDefault="000D0FE3" w:rsidP="000D0FE3">
            <w:pPr>
              <w:spacing w:after="0" w:line="240" w:lineRule="auto"/>
              <w:jc w:val="right"/>
              <w:rPr>
                <w:sz w:val="18"/>
                <w:szCs w:val="18"/>
              </w:rPr>
            </w:pPr>
            <w:r w:rsidRPr="000D0FE3">
              <w:rPr>
                <w:sz w:val="18"/>
                <w:szCs w:val="18"/>
              </w:rPr>
              <w:t>10 835.0</w:t>
            </w:r>
          </w:p>
        </w:tc>
        <w:tc>
          <w:tcPr>
            <w:tcW w:w="1418" w:type="dxa"/>
            <w:shd w:val="clear" w:color="auto" w:fill="auto"/>
            <w:noWrap/>
            <w:vAlign w:val="center"/>
          </w:tcPr>
          <w:p w14:paraId="17AA75EA" w14:textId="16AF2B87" w:rsidR="000D0FE3" w:rsidRPr="00F77EBC" w:rsidRDefault="000D0FE3" w:rsidP="000D0FE3">
            <w:pPr>
              <w:spacing w:after="0" w:line="240" w:lineRule="auto"/>
              <w:jc w:val="right"/>
              <w:rPr>
                <w:sz w:val="18"/>
                <w:szCs w:val="18"/>
              </w:rPr>
            </w:pPr>
            <w:r w:rsidRPr="000D0FE3">
              <w:rPr>
                <w:sz w:val="18"/>
                <w:szCs w:val="18"/>
              </w:rPr>
              <w:t>10 835.0</w:t>
            </w:r>
          </w:p>
        </w:tc>
        <w:tc>
          <w:tcPr>
            <w:tcW w:w="1057" w:type="dxa"/>
            <w:shd w:val="clear" w:color="auto" w:fill="auto"/>
            <w:noWrap/>
            <w:vAlign w:val="center"/>
          </w:tcPr>
          <w:p w14:paraId="017A4E41" w14:textId="4664A76D" w:rsidR="000D0FE3" w:rsidRPr="00F77EBC" w:rsidRDefault="000D0FE3" w:rsidP="000D0FE3">
            <w:pPr>
              <w:spacing w:after="0" w:line="240" w:lineRule="auto"/>
              <w:jc w:val="right"/>
              <w:rPr>
                <w:sz w:val="18"/>
                <w:szCs w:val="18"/>
              </w:rPr>
            </w:pPr>
            <w:r>
              <w:rPr>
                <w:sz w:val="18"/>
                <w:szCs w:val="18"/>
              </w:rPr>
              <w:t>-</w:t>
            </w:r>
          </w:p>
        </w:tc>
        <w:tc>
          <w:tcPr>
            <w:tcW w:w="1120" w:type="dxa"/>
            <w:shd w:val="clear" w:color="auto" w:fill="auto"/>
            <w:noWrap/>
            <w:vAlign w:val="center"/>
          </w:tcPr>
          <w:p w14:paraId="4C18C896" w14:textId="1E77E155" w:rsidR="000D0FE3" w:rsidRPr="00F77EBC" w:rsidRDefault="000D0FE3" w:rsidP="000D0FE3">
            <w:pPr>
              <w:spacing w:after="0" w:line="240" w:lineRule="auto"/>
              <w:jc w:val="right"/>
              <w:rPr>
                <w:sz w:val="18"/>
                <w:szCs w:val="18"/>
              </w:rPr>
            </w:pPr>
            <w:r>
              <w:rPr>
                <w:sz w:val="18"/>
                <w:szCs w:val="18"/>
              </w:rPr>
              <w:t>-</w:t>
            </w:r>
          </w:p>
        </w:tc>
      </w:tr>
      <w:tr w:rsidR="000D0FE3" w:rsidRPr="00F77EBC" w14:paraId="2ACE1962" w14:textId="77777777" w:rsidTr="000D0FE3">
        <w:trPr>
          <w:trHeight w:val="255"/>
        </w:trPr>
        <w:tc>
          <w:tcPr>
            <w:tcW w:w="3402" w:type="dxa"/>
            <w:shd w:val="clear" w:color="auto" w:fill="auto"/>
            <w:noWrap/>
            <w:vAlign w:val="center"/>
            <w:hideMark/>
          </w:tcPr>
          <w:p w14:paraId="7AEE2A35" w14:textId="77777777" w:rsidR="000D0FE3" w:rsidRPr="00F77EBC" w:rsidRDefault="000D0FE3" w:rsidP="000D0FE3">
            <w:pPr>
              <w:spacing w:after="0" w:line="240" w:lineRule="auto"/>
              <w:rPr>
                <w:sz w:val="18"/>
                <w:szCs w:val="18"/>
              </w:rPr>
            </w:pPr>
            <w:r w:rsidRPr="00F77EBC">
              <w:rPr>
                <w:sz w:val="18"/>
                <w:szCs w:val="18"/>
              </w:rPr>
              <w:t xml:space="preserve">Ieņēmumu un izdevumu saldo par pārvades sistēmas </w:t>
            </w:r>
            <w:proofErr w:type="spellStart"/>
            <w:r w:rsidRPr="00F77EBC">
              <w:rPr>
                <w:sz w:val="18"/>
                <w:szCs w:val="18"/>
              </w:rPr>
              <w:t>palīgpakalpojumiem</w:t>
            </w:r>
            <w:proofErr w:type="spellEnd"/>
          </w:p>
        </w:tc>
        <w:tc>
          <w:tcPr>
            <w:tcW w:w="1417" w:type="dxa"/>
            <w:shd w:val="clear" w:color="auto" w:fill="auto"/>
            <w:noWrap/>
            <w:vAlign w:val="center"/>
          </w:tcPr>
          <w:p w14:paraId="1DD62778" w14:textId="44A26B8E" w:rsidR="000D0FE3" w:rsidRPr="00F77EBC" w:rsidRDefault="000D0FE3" w:rsidP="000D0FE3">
            <w:pPr>
              <w:spacing w:after="0" w:line="240" w:lineRule="auto"/>
              <w:jc w:val="right"/>
              <w:rPr>
                <w:sz w:val="18"/>
                <w:szCs w:val="18"/>
              </w:rPr>
            </w:pPr>
            <w:r>
              <w:rPr>
                <w:sz w:val="18"/>
                <w:szCs w:val="18"/>
              </w:rPr>
              <w:t>0.0</w:t>
            </w:r>
          </w:p>
        </w:tc>
        <w:tc>
          <w:tcPr>
            <w:tcW w:w="1418" w:type="dxa"/>
            <w:shd w:val="clear" w:color="auto" w:fill="auto"/>
            <w:noWrap/>
            <w:vAlign w:val="center"/>
          </w:tcPr>
          <w:p w14:paraId="3BB4F5F2" w14:textId="27F947AA" w:rsidR="000D0FE3" w:rsidRPr="00F77EBC" w:rsidRDefault="000D0FE3" w:rsidP="000D0FE3">
            <w:pPr>
              <w:spacing w:after="0" w:line="240" w:lineRule="auto"/>
              <w:jc w:val="right"/>
              <w:rPr>
                <w:sz w:val="18"/>
                <w:szCs w:val="18"/>
              </w:rPr>
            </w:pPr>
            <w:r>
              <w:rPr>
                <w:sz w:val="18"/>
                <w:szCs w:val="18"/>
              </w:rPr>
              <w:t>0.0</w:t>
            </w:r>
          </w:p>
        </w:tc>
        <w:tc>
          <w:tcPr>
            <w:tcW w:w="1057" w:type="dxa"/>
            <w:shd w:val="clear" w:color="auto" w:fill="auto"/>
            <w:noWrap/>
            <w:vAlign w:val="center"/>
          </w:tcPr>
          <w:p w14:paraId="284C061A" w14:textId="780C4075" w:rsidR="000D0FE3" w:rsidRPr="00F77EBC" w:rsidRDefault="000D0FE3" w:rsidP="000D0FE3">
            <w:pPr>
              <w:spacing w:after="0" w:line="240" w:lineRule="auto"/>
              <w:jc w:val="right"/>
              <w:rPr>
                <w:sz w:val="18"/>
                <w:szCs w:val="18"/>
              </w:rPr>
            </w:pPr>
            <w:r>
              <w:rPr>
                <w:sz w:val="18"/>
                <w:szCs w:val="18"/>
              </w:rPr>
              <w:t>-</w:t>
            </w:r>
          </w:p>
        </w:tc>
        <w:tc>
          <w:tcPr>
            <w:tcW w:w="1120" w:type="dxa"/>
            <w:shd w:val="clear" w:color="auto" w:fill="auto"/>
            <w:noWrap/>
            <w:vAlign w:val="center"/>
          </w:tcPr>
          <w:p w14:paraId="0792EE56" w14:textId="0911CCC2" w:rsidR="000D0FE3" w:rsidRPr="00F77EBC" w:rsidRDefault="000D0FE3" w:rsidP="000D0FE3">
            <w:pPr>
              <w:spacing w:after="0" w:line="240" w:lineRule="auto"/>
              <w:jc w:val="right"/>
              <w:rPr>
                <w:sz w:val="18"/>
                <w:szCs w:val="18"/>
              </w:rPr>
            </w:pPr>
            <w:r>
              <w:rPr>
                <w:sz w:val="18"/>
                <w:szCs w:val="18"/>
              </w:rPr>
              <w:t>-</w:t>
            </w:r>
          </w:p>
        </w:tc>
      </w:tr>
      <w:tr w:rsidR="000D0FE3" w:rsidRPr="00F77EBC" w14:paraId="155DC3A6" w14:textId="77777777" w:rsidTr="000D0FE3">
        <w:trPr>
          <w:trHeight w:val="255"/>
        </w:trPr>
        <w:tc>
          <w:tcPr>
            <w:tcW w:w="3402" w:type="dxa"/>
            <w:shd w:val="clear" w:color="auto" w:fill="auto"/>
            <w:vAlign w:val="center"/>
            <w:hideMark/>
          </w:tcPr>
          <w:p w14:paraId="45AFE299" w14:textId="77777777" w:rsidR="000D0FE3" w:rsidRPr="00F77EBC" w:rsidRDefault="000D0FE3" w:rsidP="000D0FE3">
            <w:pPr>
              <w:spacing w:after="0" w:line="240" w:lineRule="auto"/>
              <w:rPr>
                <w:sz w:val="18"/>
                <w:szCs w:val="18"/>
              </w:rPr>
            </w:pPr>
            <w:r w:rsidRPr="00F77EBC">
              <w:rPr>
                <w:sz w:val="18"/>
                <w:szCs w:val="18"/>
              </w:rPr>
              <w:t>Ieņēmumu un izdevumu saldo par kompensācijām par tranzīta plūsmām</w:t>
            </w:r>
          </w:p>
        </w:tc>
        <w:tc>
          <w:tcPr>
            <w:tcW w:w="1417" w:type="dxa"/>
            <w:shd w:val="clear" w:color="auto" w:fill="auto"/>
            <w:noWrap/>
            <w:vAlign w:val="center"/>
          </w:tcPr>
          <w:p w14:paraId="0794DF8D" w14:textId="3F54FC18" w:rsidR="000D0FE3" w:rsidRPr="00F77EBC" w:rsidRDefault="000D0FE3" w:rsidP="000D0FE3">
            <w:pPr>
              <w:spacing w:after="0" w:line="240" w:lineRule="auto"/>
              <w:jc w:val="right"/>
              <w:rPr>
                <w:sz w:val="18"/>
                <w:szCs w:val="18"/>
              </w:rPr>
            </w:pPr>
            <w:r w:rsidRPr="000D0FE3">
              <w:rPr>
                <w:sz w:val="18"/>
                <w:szCs w:val="18"/>
              </w:rPr>
              <w:t>-5 607.0</w:t>
            </w:r>
          </w:p>
        </w:tc>
        <w:tc>
          <w:tcPr>
            <w:tcW w:w="1418" w:type="dxa"/>
            <w:shd w:val="clear" w:color="auto" w:fill="auto"/>
            <w:noWrap/>
            <w:vAlign w:val="center"/>
          </w:tcPr>
          <w:p w14:paraId="7550E123" w14:textId="6C25CB7E" w:rsidR="000D0FE3" w:rsidRPr="00F77EBC" w:rsidRDefault="000D0FE3" w:rsidP="000D0FE3">
            <w:pPr>
              <w:spacing w:after="0" w:line="240" w:lineRule="auto"/>
              <w:jc w:val="right"/>
              <w:rPr>
                <w:sz w:val="18"/>
                <w:szCs w:val="18"/>
              </w:rPr>
            </w:pPr>
            <w:r w:rsidRPr="000D0FE3">
              <w:rPr>
                <w:sz w:val="18"/>
                <w:szCs w:val="18"/>
              </w:rPr>
              <w:t>-5 607.0</w:t>
            </w:r>
          </w:p>
        </w:tc>
        <w:tc>
          <w:tcPr>
            <w:tcW w:w="1057" w:type="dxa"/>
            <w:shd w:val="clear" w:color="auto" w:fill="auto"/>
            <w:noWrap/>
            <w:vAlign w:val="center"/>
          </w:tcPr>
          <w:p w14:paraId="3AD9EF68" w14:textId="0AE8D285" w:rsidR="000D0FE3" w:rsidRPr="00F77EBC" w:rsidRDefault="000D0FE3" w:rsidP="000D0FE3">
            <w:pPr>
              <w:spacing w:after="0" w:line="240" w:lineRule="auto"/>
              <w:jc w:val="right"/>
              <w:rPr>
                <w:sz w:val="18"/>
                <w:szCs w:val="18"/>
              </w:rPr>
            </w:pPr>
            <w:r>
              <w:rPr>
                <w:sz w:val="18"/>
                <w:szCs w:val="18"/>
              </w:rPr>
              <w:t>-</w:t>
            </w:r>
          </w:p>
        </w:tc>
        <w:tc>
          <w:tcPr>
            <w:tcW w:w="1120" w:type="dxa"/>
            <w:shd w:val="clear" w:color="auto" w:fill="auto"/>
            <w:noWrap/>
            <w:vAlign w:val="center"/>
          </w:tcPr>
          <w:p w14:paraId="55C22DA4" w14:textId="20E0F9F5" w:rsidR="000D0FE3" w:rsidRPr="00F77EBC" w:rsidRDefault="000D0FE3" w:rsidP="000D0FE3">
            <w:pPr>
              <w:spacing w:after="0" w:line="240" w:lineRule="auto"/>
              <w:jc w:val="right"/>
              <w:rPr>
                <w:sz w:val="18"/>
                <w:szCs w:val="18"/>
              </w:rPr>
            </w:pPr>
            <w:r>
              <w:rPr>
                <w:sz w:val="18"/>
                <w:szCs w:val="18"/>
              </w:rPr>
              <w:t>-</w:t>
            </w:r>
          </w:p>
        </w:tc>
      </w:tr>
      <w:tr w:rsidR="000D0FE3" w:rsidRPr="00F77EBC" w14:paraId="02C992FC" w14:textId="77777777" w:rsidTr="000D0FE3">
        <w:trPr>
          <w:trHeight w:val="840"/>
        </w:trPr>
        <w:tc>
          <w:tcPr>
            <w:tcW w:w="3402" w:type="dxa"/>
            <w:shd w:val="clear" w:color="auto" w:fill="auto"/>
            <w:vAlign w:val="center"/>
            <w:hideMark/>
          </w:tcPr>
          <w:p w14:paraId="49276D54" w14:textId="77777777" w:rsidR="000D0FE3" w:rsidRPr="00F77EBC" w:rsidRDefault="000D0FE3" w:rsidP="000D0FE3">
            <w:pPr>
              <w:spacing w:after="0" w:line="240" w:lineRule="auto"/>
              <w:rPr>
                <w:sz w:val="18"/>
                <w:szCs w:val="18"/>
              </w:rPr>
            </w:pPr>
            <w:r w:rsidRPr="00F77EBC">
              <w:rPr>
                <w:sz w:val="18"/>
                <w:szCs w:val="18"/>
              </w:rPr>
              <w:t>Uz Latvijas lietotāju elektroapgādes vajadzībām attiecinātās elektroenerģijas pārvades sistēmas zudumu un tehnoloģiskā procesa (regulēšanas un avārijas rezervju jaudas) nodrošināšanas izmaksas</w:t>
            </w:r>
          </w:p>
        </w:tc>
        <w:tc>
          <w:tcPr>
            <w:tcW w:w="1417" w:type="dxa"/>
            <w:shd w:val="clear" w:color="auto" w:fill="auto"/>
            <w:vAlign w:val="center"/>
          </w:tcPr>
          <w:p w14:paraId="089A07EF" w14:textId="0693635F" w:rsidR="000D0FE3" w:rsidRPr="00F77EBC" w:rsidRDefault="000D0FE3" w:rsidP="000D0FE3">
            <w:pPr>
              <w:spacing w:after="0" w:line="240" w:lineRule="auto"/>
              <w:jc w:val="right"/>
              <w:rPr>
                <w:sz w:val="18"/>
                <w:szCs w:val="18"/>
              </w:rPr>
            </w:pPr>
            <w:r w:rsidRPr="000D0FE3">
              <w:rPr>
                <w:sz w:val="18"/>
                <w:szCs w:val="18"/>
              </w:rPr>
              <w:t>33 454.6</w:t>
            </w:r>
          </w:p>
        </w:tc>
        <w:tc>
          <w:tcPr>
            <w:tcW w:w="1418" w:type="dxa"/>
            <w:shd w:val="clear" w:color="auto" w:fill="auto"/>
            <w:noWrap/>
            <w:vAlign w:val="center"/>
          </w:tcPr>
          <w:p w14:paraId="182F1C31" w14:textId="2EEC32F0" w:rsidR="000D0FE3" w:rsidRPr="00F77EBC" w:rsidRDefault="000D0FE3" w:rsidP="000D0FE3">
            <w:pPr>
              <w:spacing w:after="0" w:line="240" w:lineRule="auto"/>
              <w:jc w:val="right"/>
              <w:rPr>
                <w:sz w:val="18"/>
                <w:szCs w:val="18"/>
              </w:rPr>
            </w:pPr>
            <w:r w:rsidRPr="000D0FE3">
              <w:rPr>
                <w:sz w:val="18"/>
                <w:szCs w:val="18"/>
              </w:rPr>
              <w:t>33 454.6</w:t>
            </w:r>
          </w:p>
        </w:tc>
        <w:tc>
          <w:tcPr>
            <w:tcW w:w="1057" w:type="dxa"/>
            <w:shd w:val="clear" w:color="auto" w:fill="auto"/>
            <w:vAlign w:val="center"/>
          </w:tcPr>
          <w:p w14:paraId="62593866" w14:textId="71E1E3F9" w:rsidR="000D0FE3" w:rsidRPr="00F77EBC" w:rsidRDefault="000D0FE3" w:rsidP="000D0FE3">
            <w:pPr>
              <w:spacing w:after="0" w:line="240" w:lineRule="auto"/>
              <w:jc w:val="right"/>
              <w:rPr>
                <w:sz w:val="18"/>
                <w:szCs w:val="18"/>
              </w:rPr>
            </w:pPr>
            <w:r>
              <w:rPr>
                <w:sz w:val="18"/>
                <w:szCs w:val="18"/>
              </w:rPr>
              <w:t>-</w:t>
            </w:r>
          </w:p>
        </w:tc>
        <w:tc>
          <w:tcPr>
            <w:tcW w:w="1120" w:type="dxa"/>
            <w:shd w:val="clear" w:color="auto" w:fill="auto"/>
            <w:vAlign w:val="center"/>
          </w:tcPr>
          <w:p w14:paraId="13D58E87" w14:textId="01F3BB9A" w:rsidR="000D0FE3" w:rsidRPr="00F77EBC" w:rsidRDefault="000D0FE3" w:rsidP="000D0FE3">
            <w:pPr>
              <w:spacing w:after="0" w:line="240" w:lineRule="auto"/>
              <w:jc w:val="right"/>
              <w:rPr>
                <w:sz w:val="18"/>
                <w:szCs w:val="18"/>
              </w:rPr>
            </w:pPr>
            <w:r>
              <w:rPr>
                <w:sz w:val="18"/>
                <w:szCs w:val="18"/>
              </w:rPr>
              <w:t>-</w:t>
            </w:r>
          </w:p>
        </w:tc>
      </w:tr>
      <w:tr w:rsidR="000D0FE3" w:rsidRPr="00F77EBC" w14:paraId="47AB238F" w14:textId="77777777" w:rsidTr="000D0FE3">
        <w:trPr>
          <w:trHeight w:val="443"/>
        </w:trPr>
        <w:tc>
          <w:tcPr>
            <w:tcW w:w="3402" w:type="dxa"/>
            <w:shd w:val="clear" w:color="auto" w:fill="auto"/>
            <w:noWrap/>
            <w:vAlign w:val="center"/>
            <w:hideMark/>
          </w:tcPr>
          <w:p w14:paraId="0A187B08" w14:textId="77777777" w:rsidR="000D0FE3" w:rsidRPr="00F77EBC" w:rsidRDefault="000D0FE3" w:rsidP="000D0FE3">
            <w:pPr>
              <w:spacing w:after="0" w:line="240" w:lineRule="auto"/>
              <w:rPr>
                <w:b/>
                <w:bCs/>
                <w:sz w:val="18"/>
                <w:szCs w:val="18"/>
              </w:rPr>
            </w:pPr>
            <w:r w:rsidRPr="00F77EBC">
              <w:rPr>
                <w:b/>
                <w:bCs/>
                <w:sz w:val="18"/>
                <w:szCs w:val="18"/>
              </w:rPr>
              <w:t>Izmaksas kopā</w:t>
            </w:r>
          </w:p>
        </w:tc>
        <w:tc>
          <w:tcPr>
            <w:tcW w:w="1417" w:type="dxa"/>
            <w:shd w:val="clear" w:color="auto" w:fill="auto"/>
            <w:noWrap/>
            <w:vAlign w:val="center"/>
          </w:tcPr>
          <w:p w14:paraId="68349F33" w14:textId="3AD1AD90" w:rsidR="000D0FE3" w:rsidRPr="00F77EBC" w:rsidRDefault="000D0FE3" w:rsidP="000D0FE3">
            <w:pPr>
              <w:spacing w:after="0" w:line="240" w:lineRule="auto"/>
              <w:jc w:val="right"/>
              <w:rPr>
                <w:b/>
                <w:bCs/>
                <w:sz w:val="18"/>
                <w:szCs w:val="18"/>
              </w:rPr>
            </w:pPr>
            <w:r w:rsidRPr="000D0FE3">
              <w:rPr>
                <w:b/>
                <w:bCs/>
                <w:sz w:val="18"/>
                <w:szCs w:val="18"/>
              </w:rPr>
              <w:t>109 516.4</w:t>
            </w:r>
          </w:p>
        </w:tc>
        <w:tc>
          <w:tcPr>
            <w:tcW w:w="1418" w:type="dxa"/>
            <w:shd w:val="clear" w:color="auto" w:fill="auto"/>
            <w:noWrap/>
            <w:vAlign w:val="center"/>
          </w:tcPr>
          <w:p w14:paraId="45CC4853" w14:textId="19659FB6" w:rsidR="000D0FE3" w:rsidRPr="00F77EBC" w:rsidRDefault="000D0FE3" w:rsidP="000D0FE3">
            <w:pPr>
              <w:spacing w:after="0" w:line="240" w:lineRule="auto"/>
              <w:jc w:val="right"/>
              <w:rPr>
                <w:b/>
                <w:bCs/>
                <w:sz w:val="18"/>
                <w:szCs w:val="18"/>
              </w:rPr>
            </w:pPr>
            <w:r w:rsidRPr="000D0FE3">
              <w:rPr>
                <w:b/>
                <w:bCs/>
                <w:sz w:val="18"/>
                <w:szCs w:val="18"/>
              </w:rPr>
              <w:t>109 516.4</w:t>
            </w:r>
          </w:p>
        </w:tc>
        <w:tc>
          <w:tcPr>
            <w:tcW w:w="1057" w:type="dxa"/>
            <w:shd w:val="clear" w:color="auto" w:fill="auto"/>
            <w:noWrap/>
            <w:vAlign w:val="center"/>
          </w:tcPr>
          <w:p w14:paraId="48FF7CC8" w14:textId="7E70A509" w:rsidR="000D0FE3" w:rsidRPr="00F77EBC" w:rsidRDefault="000D0FE3" w:rsidP="000D0FE3">
            <w:pPr>
              <w:spacing w:after="0" w:line="240" w:lineRule="auto"/>
              <w:jc w:val="right"/>
              <w:rPr>
                <w:b/>
                <w:bCs/>
                <w:sz w:val="18"/>
                <w:szCs w:val="18"/>
              </w:rPr>
            </w:pPr>
            <w:r>
              <w:rPr>
                <w:b/>
                <w:bCs/>
                <w:sz w:val="18"/>
                <w:szCs w:val="18"/>
              </w:rPr>
              <w:t>-</w:t>
            </w:r>
          </w:p>
        </w:tc>
        <w:tc>
          <w:tcPr>
            <w:tcW w:w="1120" w:type="dxa"/>
            <w:shd w:val="clear" w:color="auto" w:fill="auto"/>
            <w:noWrap/>
            <w:vAlign w:val="center"/>
          </w:tcPr>
          <w:p w14:paraId="0C62DC53" w14:textId="42783CEA" w:rsidR="000D0FE3" w:rsidRPr="00F77EBC" w:rsidRDefault="000D0FE3" w:rsidP="000D0FE3">
            <w:pPr>
              <w:spacing w:after="0" w:line="240" w:lineRule="auto"/>
              <w:jc w:val="right"/>
              <w:rPr>
                <w:b/>
                <w:bCs/>
                <w:sz w:val="18"/>
                <w:szCs w:val="18"/>
              </w:rPr>
            </w:pPr>
            <w:r>
              <w:rPr>
                <w:b/>
                <w:bCs/>
                <w:sz w:val="18"/>
                <w:szCs w:val="18"/>
              </w:rPr>
              <w:t>-</w:t>
            </w:r>
          </w:p>
        </w:tc>
      </w:tr>
      <w:tr w:rsidR="000D0FE3" w:rsidRPr="00F77EBC" w14:paraId="766F080D" w14:textId="77777777" w:rsidTr="000D0FE3">
        <w:trPr>
          <w:trHeight w:val="562"/>
        </w:trPr>
        <w:tc>
          <w:tcPr>
            <w:tcW w:w="3402" w:type="dxa"/>
            <w:shd w:val="clear" w:color="auto" w:fill="auto"/>
            <w:noWrap/>
            <w:vAlign w:val="center"/>
            <w:hideMark/>
          </w:tcPr>
          <w:p w14:paraId="0B8002C3" w14:textId="77777777" w:rsidR="000D0FE3" w:rsidRPr="00F77EBC" w:rsidRDefault="000D0FE3" w:rsidP="000D0FE3">
            <w:pPr>
              <w:spacing w:after="0" w:line="240" w:lineRule="auto"/>
              <w:rPr>
                <w:b/>
                <w:bCs/>
                <w:sz w:val="18"/>
                <w:szCs w:val="18"/>
              </w:rPr>
            </w:pPr>
            <w:r w:rsidRPr="00F77EBC">
              <w:rPr>
                <w:b/>
                <w:bCs/>
                <w:sz w:val="18"/>
                <w:szCs w:val="18"/>
              </w:rPr>
              <w:t>Pārvadītās elektroenerģijas izmaksas uz vienu vienību</w:t>
            </w:r>
            <w:r>
              <w:rPr>
                <w:b/>
                <w:bCs/>
                <w:sz w:val="18"/>
                <w:szCs w:val="18"/>
              </w:rPr>
              <w:t>, EUR/</w:t>
            </w:r>
            <w:proofErr w:type="spellStart"/>
            <w:r>
              <w:rPr>
                <w:b/>
                <w:bCs/>
                <w:sz w:val="18"/>
                <w:szCs w:val="18"/>
              </w:rPr>
              <w:t>MWh</w:t>
            </w:r>
            <w:proofErr w:type="spellEnd"/>
          </w:p>
        </w:tc>
        <w:tc>
          <w:tcPr>
            <w:tcW w:w="1417" w:type="dxa"/>
            <w:shd w:val="clear" w:color="auto" w:fill="auto"/>
            <w:noWrap/>
            <w:vAlign w:val="center"/>
          </w:tcPr>
          <w:p w14:paraId="48F6B633" w14:textId="50322D6B" w:rsidR="000D0FE3" w:rsidRPr="00F77EBC" w:rsidRDefault="000D0FE3" w:rsidP="000D0FE3">
            <w:pPr>
              <w:spacing w:after="0" w:line="240" w:lineRule="auto"/>
              <w:jc w:val="right"/>
              <w:rPr>
                <w:b/>
                <w:bCs/>
                <w:sz w:val="18"/>
                <w:szCs w:val="18"/>
              </w:rPr>
            </w:pPr>
            <w:r w:rsidRPr="000D0FE3">
              <w:rPr>
                <w:b/>
                <w:bCs/>
                <w:sz w:val="18"/>
                <w:szCs w:val="18"/>
              </w:rPr>
              <w:t>0.02278</w:t>
            </w:r>
          </w:p>
        </w:tc>
        <w:tc>
          <w:tcPr>
            <w:tcW w:w="1418" w:type="dxa"/>
            <w:shd w:val="clear" w:color="auto" w:fill="auto"/>
            <w:noWrap/>
            <w:vAlign w:val="center"/>
          </w:tcPr>
          <w:p w14:paraId="3BB8A7AE" w14:textId="66A5AD40" w:rsidR="000D0FE3" w:rsidRPr="00F77EBC" w:rsidRDefault="000D0FE3" w:rsidP="000D0FE3">
            <w:pPr>
              <w:spacing w:after="0" w:line="240" w:lineRule="auto"/>
              <w:jc w:val="right"/>
              <w:rPr>
                <w:b/>
                <w:bCs/>
                <w:sz w:val="18"/>
                <w:szCs w:val="18"/>
              </w:rPr>
            </w:pPr>
            <w:r w:rsidRPr="000D0FE3">
              <w:rPr>
                <w:b/>
                <w:bCs/>
                <w:sz w:val="18"/>
                <w:szCs w:val="18"/>
              </w:rPr>
              <w:t>0.02278</w:t>
            </w:r>
          </w:p>
        </w:tc>
        <w:tc>
          <w:tcPr>
            <w:tcW w:w="1057" w:type="dxa"/>
            <w:shd w:val="clear" w:color="auto" w:fill="auto"/>
            <w:noWrap/>
            <w:vAlign w:val="center"/>
          </w:tcPr>
          <w:p w14:paraId="3605A04B" w14:textId="19C5A41E" w:rsidR="000D0FE3" w:rsidRPr="00F77EBC" w:rsidRDefault="000D0FE3" w:rsidP="000D0FE3">
            <w:pPr>
              <w:spacing w:after="0" w:line="240" w:lineRule="auto"/>
              <w:jc w:val="right"/>
              <w:rPr>
                <w:b/>
                <w:bCs/>
                <w:sz w:val="18"/>
                <w:szCs w:val="18"/>
              </w:rPr>
            </w:pPr>
            <w:r>
              <w:rPr>
                <w:b/>
                <w:bCs/>
                <w:sz w:val="18"/>
                <w:szCs w:val="18"/>
              </w:rPr>
              <w:t>-</w:t>
            </w:r>
          </w:p>
        </w:tc>
        <w:tc>
          <w:tcPr>
            <w:tcW w:w="1120" w:type="dxa"/>
            <w:shd w:val="clear" w:color="auto" w:fill="auto"/>
            <w:noWrap/>
            <w:vAlign w:val="center"/>
          </w:tcPr>
          <w:p w14:paraId="10E32E2C" w14:textId="4E35D4D6" w:rsidR="000D0FE3" w:rsidRPr="00F77EBC" w:rsidRDefault="000D0FE3" w:rsidP="000D0FE3">
            <w:pPr>
              <w:spacing w:after="0" w:line="240" w:lineRule="auto"/>
              <w:jc w:val="right"/>
              <w:rPr>
                <w:b/>
                <w:bCs/>
                <w:sz w:val="18"/>
                <w:szCs w:val="18"/>
              </w:rPr>
            </w:pPr>
            <w:r>
              <w:rPr>
                <w:b/>
                <w:bCs/>
                <w:sz w:val="18"/>
                <w:szCs w:val="18"/>
              </w:rPr>
              <w:t>-</w:t>
            </w:r>
          </w:p>
        </w:tc>
      </w:tr>
      <w:tr w:rsidR="000D0FE3" w:rsidRPr="0075119C" w14:paraId="148BC91A" w14:textId="77777777" w:rsidTr="000D0FE3">
        <w:trPr>
          <w:trHeight w:val="450"/>
        </w:trPr>
        <w:tc>
          <w:tcPr>
            <w:tcW w:w="3402" w:type="dxa"/>
            <w:shd w:val="clear" w:color="auto" w:fill="auto"/>
            <w:noWrap/>
            <w:vAlign w:val="center"/>
            <w:hideMark/>
          </w:tcPr>
          <w:p w14:paraId="1C94D229" w14:textId="77777777" w:rsidR="000D0FE3" w:rsidRPr="0075119C" w:rsidRDefault="000D0FE3" w:rsidP="000D0FE3">
            <w:pPr>
              <w:spacing w:after="0" w:line="240" w:lineRule="auto"/>
              <w:rPr>
                <w:b/>
                <w:bCs/>
                <w:color w:val="0000CC"/>
                <w:sz w:val="18"/>
                <w:szCs w:val="18"/>
              </w:rPr>
            </w:pPr>
            <w:r w:rsidRPr="0075119C">
              <w:rPr>
                <w:b/>
                <w:bCs/>
                <w:color w:val="0000CC"/>
                <w:sz w:val="18"/>
                <w:szCs w:val="18"/>
              </w:rPr>
              <w:t>Korekcija, tai skaitā:</w:t>
            </w:r>
          </w:p>
        </w:tc>
        <w:tc>
          <w:tcPr>
            <w:tcW w:w="1417" w:type="dxa"/>
            <w:shd w:val="clear" w:color="auto" w:fill="auto"/>
            <w:noWrap/>
            <w:vAlign w:val="center"/>
          </w:tcPr>
          <w:p w14:paraId="144F370E" w14:textId="1BE1E96D" w:rsidR="000D0FE3" w:rsidRPr="0075119C" w:rsidRDefault="000D0FE3" w:rsidP="000D0FE3">
            <w:pPr>
              <w:spacing w:after="0" w:line="240" w:lineRule="auto"/>
              <w:jc w:val="right"/>
              <w:rPr>
                <w:b/>
                <w:bCs/>
                <w:color w:val="0000CC"/>
                <w:sz w:val="18"/>
                <w:szCs w:val="18"/>
              </w:rPr>
            </w:pPr>
          </w:p>
        </w:tc>
        <w:tc>
          <w:tcPr>
            <w:tcW w:w="1418" w:type="dxa"/>
            <w:shd w:val="clear" w:color="auto" w:fill="auto"/>
            <w:noWrap/>
            <w:vAlign w:val="center"/>
          </w:tcPr>
          <w:p w14:paraId="3DFFC47D" w14:textId="13721D7C" w:rsidR="000D0FE3" w:rsidRPr="0075119C" w:rsidRDefault="000D0FE3" w:rsidP="000D0FE3">
            <w:pPr>
              <w:spacing w:after="0" w:line="240" w:lineRule="auto"/>
              <w:jc w:val="right"/>
              <w:rPr>
                <w:b/>
                <w:bCs/>
                <w:color w:val="0000CC"/>
                <w:sz w:val="18"/>
                <w:szCs w:val="18"/>
              </w:rPr>
            </w:pPr>
          </w:p>
        </w:tc>
        <w:tc>
          <w:tcPr>
            <w:tcW w:w="1057" w:type="dxa"/>
            <w:shd w:val="clear" w:color="auto" w:fill="auto"/>
            <w:noWrap/>
            <w:vAlign w:val="center"/>
          </w:tcPr>
          <w:p w14:paraId="1821D64A" w14:textId="0D911F80" w:rsidR="000D0FE3" w:rsidRPr="0075119C" w:rsidRDefault="000D0FE3" w:rsidP="000D0FE3">
            <w:pPr>
              <w:spacing w:after="0" w:line="240" w:lineRule="auto"/>
              <w:jc w:val="right"/>
              <w:rPr>
                <w:b/>
                <w:bCs/>
                <w:color w:val="0000CC"/>
                <w:sz w:val="18"/>
                <w:szCs w:val="18"/>
              </w:rPr>
            </w:pPr>
          </w:p>
        </w:tc>
        <w:tc>
          <w:tcPr>
            <w:tcW w:w="1120" w:type="dxa"/>
            <w:shd w:val="clear" w:color="auto" w:fill="auto"/>
            <w:noWrap/>
            <w:vAlign w:val="center"/>
          </w:tcPr>
          <w:p w14:paraId="6526976B" w14:textId="6F864850" w:rsidR="000D0FE3" w:rsidRPr="0075119C" w:rsidRDefault="000D0FE3" w:rsidP="000D0FE3">
            <w:pPr>
              <w:spacing w:after="0" w:line="240" w:lineRule="auto"/>
              <w:jc w:val="right"/>
              <w:rPr>
                <w:b/>
                <w:bCs/>
                <w:color w:val="0000CC"/>
                <w:sz w:val="18"/>
                <w:szCs w:val="18"/>
              </w:rPr>
            </w:pPr>
          </w:p>
        </w:tc>
      </w:tr>
      <w:tr w:rsidR="000D0FE3" w:rsidRPr="00F77EBC" w14:paraId="535E85CF" w14:textId="77777777" w:rsidTr="000D0FE3">
        <w:trPr>
          <w:trHeight w:val="405"/>
        </w:trPr>
        <w:tc>
          <w:tcPr>
            <w:tcW w:w="3402" w:type="dxa"/>
            <w:shd w:val="clear" w:color="auto" w:fill="auto"/>
            <w:noWrap/>
            <w:vAlign w:val="center"/>
            <w:hideMark/>
          </w:tcPr>
          <w:p w14:paraId="3B4093A6" w14:textId="5BD28770" w:rsidR="000D0FE3" w:rsidRPr="00F77EBC" w:rsidRDefault="000D0FE3" w:rsidP="000D0FE3">
            <w:pPr>
              <w:spacing w:after="0" w:line="240" w:lineRule="auto"/>
              <w:rPr>
                <w:sz w:val="18"/>
                <w:szCs w:val="18"/>
              </w:rPr>
            </w:pPr>
            <w:r w:rsidRPr="00F77EBC">
              <w:rPr>
                <w:sz w:val="18"/>
                <w:szCs w:val="18"/>
              </w:rPr>
              <w:t>Regulatīvais rēķins 2021</w:t>
            </w:r>
            <w:r>
              <w:rPr>
                <w:sz w:val="18"/>
                <w:szCs w:val="18"/>
              </w:rPr>
              <w:t xml:space="preserve"> – 2023</w:t>
            </w:r>
            <w:r w:rsidR="000C3ADC">
              <w:rPr>
                <w:sz w:val="18"/>
                <w:szCs w:val="18"/>
              </w:rPr>
              <w:t xml:space="preserve"> janv.-jūn.</w:t>
            </w:r>
          </w:p>
        </w:tc>
        <w:tc>
          <w:tcPr>
            <w:tcW w:w="1417" w:type="dxa"/>
            <w:shd w:val="clear" w:color="auto" w:fill="auto"/>
            <w:noWrap/>
            <w:vAlign w:val="center"/>
          </w:tcPr>
          <w:p w14:paraId="376D1528" w14:textId="7619D531" w:rsidR="000D0FE3" w:rsidRPr="00F77EBC" w:rsidRDefault="000D0FE3" w:rsidP="000D0FE3">
            <w:pPr>
              <w:spacing w:after="0" w:line="240" w:lineRule="auto"/>
              <w:jc w:val="right"/>
              <w:rPr>
                <w:sz w:val="18"/>
                <w:szCs w:val="18"/>
              </w:rPr>
            </w:pPr>
            <w:r w:rsidRPr="000D0FE3">
              <w:rPr>
                <w:sz w:val="18"/>
                <w:szCs w:val="18"/>
              </w:rPr>
              <w:t>9 828.0</w:t>
            </w:r>
          </w:p>
        </w:tc>
        <w:tc>
          <w:tcPr>
            <w:tcW w:w="1418" w:type="dxa"/>
            <w:shd w:val="clear" w:color="auto" w:fill="auto"/>
            <w:noWrap/>
            <w:vAlign w:val="center"/>
          </w:tcPr>
          <w:p w14:paraId="6ED16ECE" w14:textId="527D68FC" w:rsidR="000D0FE3" w:rsidRPr="00F77EBC" w:rsidRDefault="000D0FE3" w:rsidP="000D0FE3">
            <w:pPr>
              <w:spacing w:after="0" w:line="240" w:lineRule="auto"/>
              <w:jc w:val="right"/>
              <w:rPr>
                <w:sz w:val="18"/>
                <w:szCs w:val="18"/>
              </w:rPr>
            </w:pPr>
            <w:r w:rsidRPr="000D0FE3">
              <w:rPr>
                <w:sz w:val="18"/>
                <w:szCs w:val="18"/>
              </w:rPr>
              <w:t>9 828.0</w:t>
            </w:r>
          </w:p>
        </w:tc>
        <w:tc>
          <w:tcPr>
            <w:tcW w:w="1057" w:type="dxa"/>
            <w:shd w:val="clear" w:color="000000" w:fill="FFFFFF"/>
            <w:noWrap/>
            <w:vAlign w:val="center"/>
          </w:tcPr>
          <w:p w14:paraId="7394B56A" w14:textId="0232E997" w:rsidR="000D0FE3" w:rsidRPr="00F77EBC" w:rsidRDefault="000D0FE3" w:rsidP="000D0FE3">
            <w:pPr>
              <w:spacing w:after="0" w:line="240" w:lineRule="auto"/>
              <w:jc w:val="right"/>
              <w:rPr>
                <w:sz w:val="18"/>
                <w:szCs w:val="18"/>
              </w:rPr>
            </w:pPr>
            <w:r>
              <w:rPr>
                <w:sz w:val="18"/>
                <w:szCs w:val="18"/>
              </w:rPr>
              <w:t>-</w:t>
            </w:r>
          </w:p>
        </w:tc>
        <w:tc>
          <w:tcPr>
            <w:tcW w:w="1120" w:type="dxa"/>
            <w:shd w:val="clear" w:color="000000" w:fill="FFFFFF"/>
            <w:noWrap/>
            <w:vAlign w:val="center"/>
          </w:tcPr>
          <w:p w14:paraId="2B00A8F5" w14:textId="76380325" w:rsidR="000D0FE3" w:rsidRPr="00F77EBC" w:rsidRDefault="000D0FE3" w:rsidP="000D0FE3">
            <w:pPr>
              <w:spacing w:after="0" w:line="240" w:lineRule="auto"/>
              <w:jc w:val="right"/>
              <w:rPr>
                <w:sz w:val="18"/>
                <w:szCs w:val="18"/>
              </w:rPr>
            </w:pPr>
            <w:r>
              <w:rPr>
                <w:sz w:val="18"/>
                <w:szCs w:val="18"/>
              </w:rPr>
              <w:t>-</w:t>
            </w:r>
          </w:p>
        </w:tc>
      </w:tr>
      <w:tr w:rsidR="000D0FE3" w:rsidRPr="00F77EBC" w14:paraId="0773885B" w14:textId="77777777" w:rsidTr="000D0FE3">
        <w:trPr>
          <w:trHeight w:val="435"/>
        </w:trPr>
        <w:tc>
          <w:tcPr>
            <w:tcW w:w="3402" w:type="dxa"/>
            <w:shd w:val="clear" w:color="auto" w:fill="auto"/>
            <w:noWrap/>
            <w:vAlign w:val="center"/>
            <w:hideMark/>
          </w:tcPr>
          <w:p w14:paraId="6C4048FD" w14:textId="2ACE1587" w:rsidR="000D0FE3" w:rsidRPr="00F77EBC" w:rsidRDefault="000D0FE3" w:rsidP="000D0FE3">
            <w:pPr>
              <w:spacing w:after="0" w:line="240" w:lineRule="auto"/>
              <w:rPr>
                <w:sz w:val="18"/>
                <w:szCs w:val="18"/>
              </w:rPr>
            </w:pPr>
            <w:r w:rsidRPr="00F77EBC">
              <w:rPr>
                <w:sz w:val="18"/>
                <w:szCs w:val="18"/>
              </w:rPr>
              <w:t>Regulatīvais rēķins 202</w:t>
            </w:r>
            <w:r>
              <w:rPr>
                <w:sz w:val="18"/>
                <w:szCs w:val="18"/>
              </w:rPr>
              <w:t xml:space="preserve">3 </w:t>
            </w:r>
            <w:r w:rsidR="000C3ADC">
              <w:rPr>
                <w:sz w:val="18"/>
                <w:szCs w:val="18"/>
              </w:rPr>
              <w:t>jūl. – dec.</w:t>
            </w:r>
          </w:p>
        </w:tc>
        <w:tc>
          <w:tcPr>
            <w:tcW w:w="1417" w:type="dxa"/>
            <w:shd w:val="clear" w:color="auto" w:fill="auto"/>
            <w:noWrap/>
            <w:vAlign w:val="center"/>
          </w:tcPr>
          <w:p w14:paraId="793CF63C" w14:textId="30315F05" w:rsidR="000D0FE3" w:rsidRPr="00F77EBC" w:rsidRDefault="000D0FE3" w:rsidP="000D0FE3">
            <w:pPr>
              <w:spacing w:after="0" w:line="240" w:lineRule="auto"/>
              <w:jc w:val="right"/>
              <w:rPr>
                <w:sz w:val="18"/>
                <w:szCs w:val="18"/>
              </w:rPr>
            </w:pPr>
            <w:r>
              <w:rPr>
                <w:sz w:val="18"/>
                <w:szCs w:val="18"/>
              </w:rPr>
              <w:t>-</w:t>
            </w:r>
          </w:p>
        </w:tc>
        <w:tc>
          <w:tcPr>
            <w:tcW w:w="1418" w:type="dxa"/>
            <w:shd w:val="clear" w:color="auto" w:fill="auto"/>
            <w:noWrap/>
            <w:vAlign w:val="center"/>
          </w:tcPr>
          <w:p w14:paraId="32BF6464" w14:textId="12B6ADA5" w:rsidR="000D0FE3" w:rsidRPr="00F77EBC" w:rsidRDefault="000D0FE3" w:rsidP="000D0FE3">
            <w:pPr>
              <w:spacing w:after="0" w:line="240" w:lineRule="auto"/>
              <w:jc w:val="right"/>
              <w:rPr>
                <w:sz w:val="18"/>
                <w:szCs w:val="18"/>
              </w:rPr>
            </w:pPr>
            <w:r w:rsidRPr="000D0FE3">
              <w:rPr>
                <w:sz w:val="18"/>
                <w:szCs w:val="18"/>
              </w:rPr>
              <w:t>2 381.9</w:t>
            </w:r>
          </w:p>
        </w:tc>
        <w:tc>
          <w:tcPr>
            <w:tcW w:w="1057" w:type="dxa"/>
            <w:shd w:val="clear" w:color="auto" w:fill="auto"/>
            <w:noWrap/>
            <w:vAlign w:val="center"/>
          </w:tcPr>
          <w:p w14:paraId="737B2F42" w14:textId="26620201" w:rsidR="000D0FE3" w:rsidRPr="00F77EBC" w:rsidRDefault="000C3ADC" w:rsidP="000D0FE3">
            <w:pPr>
              <w:spacing w:after="0" w:line="240" w:lineRule="auto"/>
              <w:jc w:val="right"/>
              <w:rPr>
                <w:sz w:val="18"/>
                <w:szCs w:val="18"/>
              </w:rPr>
            </w:pPr>
            <w:r>
              <w:rPr>
                <w:sz w:val="18"/>
                <w:szCs w:val="18"/>
              </w:rPr>
              <w:t>2 381.9</w:t>
            </w:r>
          </w:p>
        </w:tc>
        <w:tc>
          <w:tcPr>
            <w:tcW w:w="1120" w:type="dxa"/>
            <w:shd w:val="clear" w:color="auto" w:fill="auto"/>
            <w:noWrap/>
            <w:vAlign w:val="center"/>
          </w:tcPr>
          <w:p w14:paraId="57D0FC7F" w14:textId="2BE9F4E4" w:rsidR="000D0FE3" w:rsidRPr="00F77EBC" w:rsidRDefault="000C3ADC" w:rsidP="000D0FE3">
            <w:pPr>
              <w:spacing w:after="0" w:line="240" w:lineRule="auto"/>
              <w:jc w:val="right"/>
              <w:rPr>
                <w:sz w:val="18"/>
                <w:szCs w:val="18"/>
              </w:rPr>
            </w:pPr>
            <w:r>
              <w:rPr>
                <w:sz w:val="18"/>
                <w:szCs w:val="18"/>
              </w:rPr>
              <w:t>100%</w:t>
            </w:r>
          </w:p>
        </w:tc>
      </w:tr>
      <w:tr w:rsidR="000D0FE3" w:rsidRPr="00F77EBC" w14:paraId="1C3CE401" w14:textId="77777777" w:rsidTr="000D0FE3">
        <w:trPr>
          <w:trHeight w:val="383"/>
        </w:trPr>
        <w:tc>
          <w:tcPr>
            <w:tcW w:w="3402" w:type="dxa"/>
            <w:shd w:val="clear" w:color="auto" w:fill="auto"/>
            <w:noWrap/>
            <w:vAlign w:val="center"/>
          </w:tcPr>
          <w:p w14:paraId="35975187" w14:textId="77F445E8" w:rsidR="000D0FE3" w:rsidRPr="000D0FE3" w:rsidRDefault="000D0FE3" w:rsidP="000D0FE3">
            <w:pPr>
              <w:spacing w:after="0" w:line="240" w:lineRule="auto"/>
              <w:rPr>
                <w:sz w:val="18"/>
                <w:szCs w:val="18"/>
              </w:rPr>
            </w:pPr>
            <w:r w:rsidRPr="000D0FE3">
              <w:rPr>
                <w:sz w:val="18"/>
                <w:szCs w:val="18"/>
              </w:rPr>
              <w:t>Pārslodzes ieņēmumi</w:t>
            </w:r>
          </w:p>
        </w:tc>
        <w:tc>
          <w:tcPr>
            <w:tcW w:w="1417" w:type="dxa"/>
            <w:shd w:val="clear" w:color="auto" w:fill="auto"/>
            <w:noWrap/>
            <w:vAlign w:val="center"/>
          </w:tcPr>
          <w:p w14:paraId="091F74D9" w14:textId="10649563" w:rsidR="000D0FE3" w:rsidRPr="000D0FE3" w:rsidRDefault="000D0FE3" w:rsidP="000D0FE3">
            <w:pPr>
              <w:spacing w:after="0" w:line="240" w:lineRule="auto"/>
              <w:jc w:val="right"/>
              <w:rPr>
                <w:sz w:val="18"/>
                <w:szCs w:val="18"/>
              </w:rPr>
            </w:pPr>
            <w:r w:rsidRPr="000D0FE3">
              <w:rPr>
                <w:sz w:val="18"/>
                <w:szCs w:val="18"/>
              </w:rPr>
              <w:t>-24 828.0</w:t>
            </w:r>
          </w:p>
        </w:tc>
        <w:tc>
          <w:tcPr>
            <w:tcW w:w="1418" w:type="dxa"/>
            <w:shd w:val="clear" w:color="auto" w:fill="auto"/>
            <w:noWrap/>
            <w:vAlign w:val="center"/>
          </w:tcPr>
          <w:p w14:paraId="16D26347" w14:textId="4ED547BF" w:rsidR="000D0FE3" w:rsidRPr="000D0FE3" w:rsidRDefault="000D0FE3" w:rsidP="000D0FE3">
            <w:pPr>
              <w:spacing w:after="0" w:line="240" w:lineRule="auto"/>
              <w:jc w:val="right"/>
              <w:rPr>
                <w:sz w:val="18"/>
                <w:szCs w:val="18"/>
              </w:rPr>
            </w:pPr>
            <w:r w:rsidRPr="000D0FE3">
              <w:rPr>
                <w:sz w:val="18"/>
                <w:szCs w:val="18"/>
              </w:rPr>
              <w:t>-24 828.0</w:t>
            </w:r>
          </w:p>
        </w:tc>
        <w:tc>
          <w:tcPr>
            <w:tcW w:w="1057" w:type="dxa"/>
            <w:shd w:val="clear" w:color="auto" w:fill="auto"/>
            <w:noWrap/>
            <w:vAlign w:val="center"/>
          </w:tcPr>
          <w:p w14:paraId="20376859" w14:textId="172D28FD" w:rsidR="000D0FE3" w:rsidRPr="000D0FE3" w:rsidRDefault="000C3ADC" w:rsidP="000D0FE3">
            <w:pPr>
              <w:spacing w:after="0" w:line="240" w:lineRule="auto"/>
              <w:jc w:val="right"/>
              <w:rPr>
                <w:sz w:val="18"/>
                <w:szCs w:val="18"/>
              </w:rPr>
            </w:pPr>
            <w:r>
              <w:rPr>
                <w:sz w:val="18"/>
                <w:szCs w:val="18"/>
              </w:rPr>
              <w:t>-</w:t>
            </w:r>
          </w:p>
        </w:tc>
        <w:tc>
          <w:tcPr>
            <w:tcW w:w="1120" w:type="dxa"/>
            <w:shd w:val="clear" w:color="auto" w:fill="auto"/>
            <w:noWrap/>
            <w:vAlign w:val="center"/>
          </w:tcPr>
          <w:p w14:paraId="08AAD1BD" w14:textId="3A8A2B4E" w:rsidR="000D0FE3" w:rsidRPr="000D0FE3" w:rsidRDefault="000C3ADC" w:rsidP="000D0FE3">
            <w:pPr>
              <w:spacing w:after="0" w:line="240" w:lineRule="auto"/>
              <w:jc w:val="right"/>
              <w:rPr>
                <w:sz w:val="18"/>
                <w:szCs w:val="18"/>
              </w:rPr>
            </w:pPr>
            <w:r>
              <w:rPr>
                <w:sz w:val="18"/>
                <w:szCs w:val="18"/>
              </w:rPr>
              <w:t>-</w:t>
            </w:r>
          </w:p>
        </w:tc>
      </w:tr>
      <w:tr w:rsidR="000D0FE3" w:rsidRPr="00F77EBC" w14:paraId="3870D61F" w14:textId="77777777" w:rsidTr="000D0FE3">
        <w:trPr>
          <w:trHeight w:val="383"/>
        </w:trPr>
        <w:tc>
          <w:tcPr>
            <w:tcW w:w="3402" w:type="dxa"/>
            <w:shd w:val="clear" w:color="auto" w:fill="auto"/>
            <w:noWrap/>
            <w:vAlign w:val="center"/>
            <w:hideMark/>
          </w:tcPr>
          <w:p w14:paraId="7642B3F7" w14:textId="77777777" w:rsidR="000D0FE3" w:rsidRPr="00F77EBC" w:rsidRDefault="000D0FE3" w:rsidP="000D0FE3">
            <w:pPr>
              <w:spacing w:after="0" w:line="240" w:lineRule="auto"/>
              <w:rPr>
                <w:b/>
                <w:bCs/>
                <w:sz w:val="18"/>
                <w:szCs w:val="18"/>
              </w:rPr>
            </w:pPr>
            <w:r w:rsidRPr="00F77EBC">
              <w:rPr>
                <w:b/>
                <w:bCs/>
                <w:sz w:val="18"/>
                <w:szCs w:val="18"/>
              </w:rPr>
              <w:t>Izmaksas kopā pēc ieņēmumu korekcijas</w:t>
            </w:r>
          </w:p>
        </w:tc>
        <w:tc>
          <w:tcPr>
            <w:tcW w:w="1417" w:type="dxa"/>
            <w:shd w:val="clear" w:color="auto" w:fill="auto"/>
            <w:noWrap/>
            <w:vAlign w:val="center"/>
          </w:tcPr>
          <w:p w14:paraId="77FF11AC" w14:textId="59F2FBC2" w:rsidR="000D0FE3" w:rsidRPr="00F77EBC" w:rsidRDefault="000D0FE3" w:rsidP="000D0FE3">
            <w:pPr>
              <w:spacing w:after="0" w:line="240" w:lineRule="auto"/>
              <w:jc w:val="right"/>
              <w:rPr>
                <w:b/>
                <w:bCs/>
                <w:sz w:val="18"/>
                <w:szCs w:val="18"/>
              </w:rPr>
            </w:pPr>
            <w:r w:rsidRPr="000D0FE3">
              <w:rPr>
                <w:b/>
                <w:bCs/>
                <w:sz w:val="18"/>
                <w:szCs w:val="18"/>
              </w:rPr>
              <w:t>94 516.4</w:t>
            </w:r>
          </w:p>
        </w:tc>
        <w:tc>
          <w:tcPr>
            <w:tcW w:w="1418" w:type="dxa"/>
            <w:shd w:val="clear" w:color="auto" w:fill="auto"/>
            <w:noWrap/>
            <w:vAlign w:val="center"/>
          </w:tcPr>
          <w:p w14:paraId="0F55F8EF" w14:textId="4F8DB9CA" w:rsidR="000D0FE3" w:rsidRPr="00F77EBC" w:rsidRDefault="000C3ADC" w:rsidP="000D0FE3">
            <w:pPr>
              <w:spacing w:after="0" w:line="240" w:lineRule="auto"/>
              <w:jc w:val="right"/>
              <w:rPr>
                <w:b/>
                <w:bCs/>
                <w:sz w:val="18"/>
                <w:szCs w:val="18"/>
              </w:rPr>
            </w:pPr>
            <w:r>
              <w:rPr>
                <w:b/>
                <w:bCs/>
                <w:sz w:val="18"/>
                <w:szCs w:val="18"/>
              </w:rPr>
              <w:t>92 134.5</w:t>
            </w:r>
          </w:p>
        </w:tc>
        <w:tc>
          <w:tcPr>
            <w:tcW w:w="1057" w:type="dxa"/>
            <w:shd w:val="clear" w:color="auto" w:fill="auto"/>
            <w:noWrap/>
            <w:vAlign w:val="center"/>
          </w:tcPr>
          <w:p w14:paraId="703BAFA1" w14:textId="7B283D10" w:rsidR="000D0FE3" w:rsidRPr="00F77EBC" w:rsidRDefault="000C3ADC" w:rsidP="000D0FE3">
            <w:pPr>
              <w:spacing w:after="0" w:line="240" w:lineRule="auto"/>
              <w:jc w:val="right"/>
              <w:rPr>
                <w:b/>
                <w:bCs/>
                <w:sz w:val="18"/>
                <w:szCs w:val="18"/>
              </w:rPr>
            </w:pPr>
            <w:r>
              <w:rPr>
                <w:b/>
                <w:bCs/>
                <w:sz w:val="18"/>
                <w:szCs w:val="18"/>
              </w:rPr>
              <w:t>-2 381.9</w:t>
            </w:r>
          </w:p>
        </w:tc>
        <w:tc>
          <w:tcPr>
            <w:tcW w:w="1120" w:type="dxa"/>
            <w:shd w:val="clear" w:color="auto" w:fill="auto"/>
            <w:noWrap/>
            <w:vAlign w:val="center"/>
          </w:tcPr>
          <w:p w14:paraId="3CCDA647" w14:textId="205D6F68" w:rsidR="000D0FE3" w:rsidRPr="00F77EBC" w:rsidRDefault="000C3ADC" w:rsidP="000D0FE3">
            <w:pPr>
              <w:spacing w:after="0" w:line="240" w:lineRule="auto"/>
              <w:jc w:val="right"/>
              <w:rPr>
                <w:b/>
                <w:bCs/>
                <w:sz w:val="18"/>
                <w:szCs w:val="18"/>
              </w:rPr>
            </w:pPr>
            <w:r>
              <w:rPr>
                <w:b/>
                <w:bCs/>
                <w:sz w:val="18"/>
                <w:szCs w:val="18"/>
              </w:rPr>
              <w:t>-2.5%</w:t>
            </w:r>
          </w:p>
        </w:tc>
      </w:tr>
      <w:tr w:rsidR="000D0FE3" w:rsidRPr="00F77EBC" w14:paraId="06CDA0B2" w14:textId="77777777" w:rsidTr="000D0FE3">
        <w:trPr>
          <w:trHeight w:val="558"/>
        </w:trPr>
        <w:tc>
          <w:tcPr>
            <w:tcW w:w="3402" w:type="dxa"/>
            <w:shd w:val="clear" w:color="000000" w:fill="D9D9D9"/>
            <w:vAlign w:val="center"/>
            <w:hideMark/>
          </w:tcPr>
          <w:p w14:paraId="5BD3456B" w14:textId="77777777" w:rsidR="000D0FE3" w:rsidRPr="00F77EBC" w:rsidRDefault="000D0FE3" w:rsidP="000D0FE3">
            <w:pPr>
              <w:spacing w:after="0" w:line="240" w:lineRule="auto"/>
              <w:rPr>
                <w:b/>
                <w:bCs/>
                <w:sz w:val="18"/>
                <w:szCs w:val="18"/>
              </w:rPr>
            </w:pPr>
            <w:r w:rsidRPr="00F77EBC">
              <w:rPr>
                <w:b/>
                <w:bCs/>
                <w:sz w:val="18"/>
                <w:szCs w:val="18"/>
              </w:rPr>
              <w:t>Pārvadītās elektroenerģijas izmaksas uz vienu vienību pēc korekcijas</w:t>
            </w:r>
            <w:r>
              <w:rPr>
                <w:b/>
                <w:bCs/>
                <w:sz w:val="18"/>
                <w:szCs w:val="18"/>
              </w:rPr>
              <w:t>, EUR/</w:t>
            </w:r>
            <w:proofErr w:type="spellStart"/>
            <w:r>
              <w:rPr>
                <w:b/>
                <w:bCs/>
                <w:sz w:val="18"/>
                <w:szCs w:val="18"/>
              </w:rPr>
              <w:t>MWh</w:t>
            </w:r>
            <w:proofErr w:type="spellEnd"/>
          </w:p>
        </w:tc>
        <w:tc>
          <w:tcPr>
            <w:tcW w:w="1417" w:type="dxa"/>
            <w:shd w:val="clear" w:color="000000" w:fill="D9D9D9"/>
            <w:noWrap/>
            <w:vAlign w:val="center"/>
          </w:tcPr>
          <w:p w14:paraId="531AF1C3" w14:textId="3BF5DB97" w:rsidR="000D0FE3" w:rsidRPr="00F77EBC" w:rsidRDefault="000D0FE3" w:rsidP="000D0FE3">
            <w:pPr>
              <w:spacing w:after="0" w:line="240" w:lineRule="auto"/>
              <w:jc w:val="right"/>
              <w:rPr>
                <w:b/>
                <w:bCs/>
                <w:sz w:val="18"/>
                <w:szCs w:val="18"/>
              </w:rPr>
            </w:pPr>
            <w:r w:rsidRPr="000D0FE3">
              <w:rPr>
                <w:b/>
                <w:bCs/>
                <w:sz w:val="18"/>
                <w:szCs w:val="18"/>
              </w:rPr>
              <w:t>0.01647</w:t>
            </w:r>
          </w:p>
        </w:tc>
        <w:tc>
          <w:tcPr>
            <w:tcW w:w="1418" w:type="dxa"/>
            <w:shd w:val="clear" w:color="000000" w:fill="D9D9D9"/>
            <w:noWrap/>
            <w:vAlign w:val="center"/>
          </w:tcPr>
          <w:p w14:paraId="4BB9A227" w14:textId="2D94E93E" w:rsidR="000D0FE3" w:rsidRPr="00F77EBC" w:rsidRDefault="000C3ADC" w:rsidP="000D0FE3">
            <w:pPr>
              <w:spacing w:after="0" w:line="240" w:lineRule="auto"/>
              <w:jc w:val="right"/>
              <w:rPr>
                <w:b/>
                <w:bCs/>
                <w:sz w:val="18"/>
                <w:szCs w:val="18"/>
              </w:rPr>
            </w:pPr>
            <w:r w:rsidRPr="000C3ADC">
              <w:rPr>
                <w:b/>
                <w:bCs/>
                <w:sz w:val="18"/>
                <w:szCs w:val="18"/>
              </w:rPr>
              <w:t>0.01605</w:t>
            </w:r>
          </w:p>
        </w:tc>
        <w:tc>
          <w:tcPr>
            <w:tcW w:w="1057" w:type="dxa"/>
            <w:shd w:val="clear" w:color="000000" w:fill="D9D9D9"/>
            <w:noWrap/>
            <w:vAlign w:val="center"/>
          </w:tcPr>
          <w:p w14:paraId="2B8E839E" w14:textId="2960886F" w:rsidR="000D0FE3" w:rsidRPr="00F77EBC" w:rsidRDefault="000C3ADC" w:rsidP="000D0FE3">
            <w:pPr>
              <w:spacing w:after="0" w:line="240" w:lineRule="auto"/>
              <w:jc w:val="right"/>
              <w:rPr>
                <w:b/>
                <w:bCs/>
                <w:sz w:val="18"/>
                <w:szCs w:val="18"/>
              </w:rPr>
            </w:pPr>
            <w:r>
              <w:rPr>
                <w:b/>
                <w:bCs/>
                <w:sz w:val="18"/>
                <w:szCs w:val="18"/>
              </w:rPr>
              <w:t>-0.00042</w:t>
            </w:r>
          </w:p>
        </w:tc>
        <w:tc>
          <w:tcPr>
            <w:tcW w:w="1120" w:type="dxa"/>
            <w:shd w:val="clear" w:color="000000" w:fill="D9D9D9"/>
            <w:noWrap/>
            <w:vAlign w:val="center"/>
          </w:tcPr>
          <w:p w14:paraId="155C08E3" w14:textId="4377ED85" w:rsidR="000D0FE3" w:rsidRPr="00F77EBC" w:rsidRDefault="000C3ADC" w:rsidP="000D0FE3">
            <w:pPr>
              <w:spacing w:after="0" w:line="240" w:lineRule="auto"/>
              <w:jc w:val="right"/>
              <w:rPr>
                <w:b/>
                <w:bCs/>
                <w:sz w:val="18"/>
                <w:szCs w:val="18"/>
              </w:rPr>
            </w:pPr>
            <w:r>
              <w:rPr>
                <w:b/>
                <w:bCs/>
                <w:sz w:val="18"/>
                <w:szCs w:val="18"/>
              </w:rPr>
              <w:t>-2.5%</w:t>
            </w:r>
          </w:p>
        </w:tc>
      </w:tr>
    </w:tbl>
    <w:p w14:paraId="1FA755FC" w14:textId="77777777" w:rsidR="00530F5D" w:rsidRDefault="00530F5D" w:rsidP="00C07678">
      <w:pPr>
        <w:keepNext/>
        <w:keepLines/>
        <w:autoSpaceDE w:val="0"/>
        <w:autoSpaceDN w:val="0"/>
        <w:adjustRightInd w:val="0"/>
        <w:spacing w:before="120" w:after="0" w:line="276" w:lineRule="auto"/>
        <w:jc w:val="both"/>
        <w:rPr>
          <w:rFonts w:cs="Times New Roman"/>
          <w:bCs/>
          <w:color w:val="000000"/>
          <w:sz w:val="24"/>
          <w:szCs w:val="24"/>
        </w:rPr>
      </w:pPr>
    </w:p>
    <w:p w14:paraId="62FEC357" w14:textId="77777777" w:rsidR="00C07678" w:rsidRDefault="00C07678" w:rsidP="0012720A">
      <w:pPr>
        <w:spacing w:before="120" w:after="0" w:line="276" w:lineRule="auto"/>
        <w:jc w:val="both"/>
        <w:rPr>
          <w:sz w:val="24"/>
          <w:szCs w:val="24"/>
        </w:rPr>
      </w:pPr>
    </w:p>
    <w:sectPr w:rsidR="00C07678" w:rsidSect="004C2689">
      <w:headerReference w:type="default" r:id="rId11"/>
      <w:footerReference w:type="default" r:id="rId12"/>
      <w:headerReference w:type="first" r:id="rId13"/>
      <w:footerReference w:type="first" r:id="rId14"/>
      <w:pgSz w:w="11906" w:h="16838"/>
      <w:pgMar w:top="1440" w:right="1800" w:bottom="1440" w:left="1800"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04CEF" w14:textId="77777777" w:rsidR="009E0F5A" w:rsidRDefault="009E0F5A">
      <w:pPr>
        <w:spacing w:after="0" w:line="240" w:lineRule="auto"/>
      </w:pPr>
      <w:r>
        <w:separator/>
      </w:r>
    </w:p>
  </w:endnote>
  <w:endnote w:type="continuationSeparator" w:id="0">
    <w:p w14:paraId="52DDBFA3" w14:textId="77777777" w:rsidR="009E0F5A" w:rsidRDefault="009E0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157447"/>
      <w:docPartObj>
        <w:docPartGallery w:val="Page Numbers (Bottom of Page)"/>
        <w:docPartUnique/>
      </w:docPartObj>
    </w:sdtPr>
    <w:sdtEndPr>
      <w:rPr>
        <w:rFonts w:cs="Times New Roman"/>
        <w:noProof/>
      </w:rPr>
    </w:sdtEndPr>
    <w:sdtContent>
      <w:p w14:paraId="52AB1177" w14:textId="77777777" w:rsidR="004C75EA" w:rsidRPr="004C75EA" w:rsidRDefault="00000000">
        <w:pPr>
          <w:pStyle w:val="Footer"/>
          <w:jc w:val="right"/>
          <w:rPr>
            <w:rFonts w:cs="Times New Roman"/>
          </w:rPr>
        </w:pPr>
        <w:r w:rsidRPr="004C75EA">
          <w:rPr>
            <w:rFonts w:cs="Times New Roman"/>
          </w:rPr>
          <w:fldChar w:fldCharType="begin"/>
        </w:r>
        <w:r w:rsidRPr="004C75EA">
          <w:rPr>
            <w:rFonts w:cs="Times New Roman"/>
          </w:rPr>
          <w:instrText xml:space="preserve"> PAGE   \* MERGEFORMAT </w:instrText>
        </w:r>
        <w:r w:rsidRPr="004C75EA">
          <w:rPr>
            <w:rFonts w:cs="Times New Roman"/>
          </w:rPr>
          <w:fldChar w:fldCharType="separate"/>
        </w:r>
        <w:r w:rsidR="00FB3A30">
          <w:rPr>
            <w:rFonts w:cs="Times New Roman"/>
            <w:noProof/>
          </w:rPr>
          <w:t>7</w:t>
        </w:r>
        <w:r w:rsidRPr="004C75EA">
          <w:rPr>
            <w:rFonts w:cs="Times New Roman"/>
            <w:noProof/>
          </w:rPr>
          <w:fldChar w:fldCharType="end"/>
        </w:r>
      </w:p>
    </w:sdtContent>
  </w:sdt>
  <w:p w14:paraId="07C9DB8C" w14:textId="77777777" w:rsidR="00A16205" w:rsidRDefault="00A16205" w:rsidP="00A16205">
    <w:pPr>
      <w:pStyle w:val="Footer"/>
      <w:jc w:val="center"/>
    </w:pPr>
  </w:p>
  <w:p w14:paraId="65F8511D" w14:textId="4A6DF486" w:rsidR="00D04171" w:rsidRDefault="00000000">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35D38" w14:textId="77777777" w:rsidR="00185AA4" w:rsidRDefault="00185AA4">
    <w:pPr>
      <w:pStyle w:val="Footer"/>
    </w:pPr>
  </w:p>
  <w:p w14:paraId="646C0AED" w14:textId="5E91D089" w:rsidR="00D04171" w:rsidRDefault="00000000">
    <w:r>
      <w:t xml:space="preserve">          </w:t>
    </w:r>
  </w:p>
  <w:p w14:paraId="0E2750FD" w14:textId="098C5704" w:rsidR="00370E94" w:rsidRDefault="00000000">
    <w:pPr>
      <w:jc w:val="center"/>
    </w:pPr>
    <w:r>
      <w:rPr>
        <w:rFonts w:ascii="Calibri" w:eastAsia="Calibri" w:hAnsi="Calibri" w:cs="Calibri"/>
      </w:rPr>
      <w:t>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7662B" w14:textId="77777777" w:rsidR="009E0F5A" w:rsidRDefault="009E0F5A">
      <w:pPr>
        <w:spacing w:after="0" w:line="240" w:lineRule="auto"/>
      </w:pPr>
      <w:r>
        <w:separator/>
      </w:r>
    </w:p>
  </w:footnote>
  <w:footnote w:type="continuationSeparator" w:id="0">
    <w:p w14:paraId="76503D1C" w14:textId="77777777" w:rsidR="009E0F5A" w:rsidRDefault="009E0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E4F7" w14:textId="77777777" w:rsidR="005413AE" w:rsidRDefault="005413AE" w:rsidP="005413AE">
    <w:pPr>
      <w:pStyle w:val="Header"/>
    </w:pPr>
  </w:p>
  <w:p w14:paraId="7E1ED801" w14:textId="77777777" w:rsidR="005413AE" w:rsidRDefault="005413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C6688" w14:textId="77777777" w:rsidR="00246FF1" w:rsidRDefault="00246FF1">
    <w:pPr>
      <w:pStyle w:val="Header"/>
    </w:pPr>
  </w:p>
  <w:p w14:paraId="408653D0" w14:textId="77777777" w:rsidR="00246FF1" w:rsidRDefault="00246F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4870"/>
    <w:multiLevelType w:val="hybridMultilevel"/>
    <w:tmpl w:val="6BBC762A"/>
    <w:lvl w:ilvl="0" w:tplc="6EA88D1C">
      <w:start w:val="1"/>
      <w:numFmt w:val="bullet"/>
      <w:lvlText w:val=""/>
      <w:lvlJc w:val="left"/>
      <w:pPr>
        <w:ind w:left="720" w:hanging="360"/>
      </w:pPr>
      <w:rPr>
        <w:rFonts w:ascii="Wingdings" w:hAnsi="Wingdings" w:hint="default"/>
      </w:rPr>
    </w:lvl>
    <w:lvl w:ilvl="1" w:tplc="D17E59BE" w:tentative="1">
      <w:start w:val="1"/>
      <w:numFmt w:val="bullet"/>
      <w:lvlText w:val="o"/>
      <w:lvlJc w:val="left"/>
      <w:pPr>
        <w:ind w:left="1440" w:hanging="360"/>
      </w:pPr>
      <w:rPr>
        <w:rFonts w:ascii="Courier New" w:hAnsi="Courier New" w:cs="Courier New" w:hint="default"/>
      </w:rPr>
    </w:lvl>
    <w:lvl w:ilvl="2" w:tplc="32F8AC7A" w:tentative="1">
      <w:start w:val="1"/>
      <w:numFmt w:val="bullet"/>
      <w:lvlText w:val=""/>
      <w:lvlJc w:val="left"/>
      <w:pPr>
        <w:ind w:left="2160" w:hanging="360"/>
      </w:pPr>
      <w:rPr>
        <w:rFonts w:ascii="Wingdings" w:hAnsi="Wingdings" w:hint="default"/>
      </w:rPr>
    </w:lvl>
    <w:lvl w:ilvl="3" w:tplc="5C22FD5E" w:tentative="1">
      <w:start w:val="1"/>
      <w:numFmt w:val="bullet"/>
      <w:lvlText w:val=""/>
      <w:lvlJc w:val="left"/>
      <w:pPr>
        <w:ind w:left="2880" w:hanging="360"/>
      </w:pPr>
      <w:rPr>
        <w:rFonts w:ascii="Symbol" w:hAnsi="Symbol" w:hint="default"/>
      </w:rPr>
    </w:lvl>
    <w:lvl w:ilvl="4" w:tplc="9B989BC4" w:tentative="1">
      <w:start w:val="1"/>
      <w:numFmt w:val="bullet"/>
      <w:lvlText w:val="o"/>
      <w:lvlJc w:val="left"/>
      <w:pPr>
        <w:ind w:left="3600" w:hanging="360"/>
      </w:pPr>
      <w:rPr>
        <w:rFonts w:ascii="Courier New" w:hAnsi="Courier New" w:cs="Courier New" w:hint="default"/>
      </w:rPr>
    </w:lvl>
    <w:lvl w:ilvl="5" w:tplc="470E79B2" w:tentative="1">
      <w:start w:val="1"/>
      <w:numFmt w:val="bullet"/>
      <w:lvlText w:val=""/>
      <w:lvlJc w:val="left"/>
      <w:pPr>
        <w:ind w:left="4320" w:hanging="360"/>
      </w:pPr>
      <w:rPr>
        <w:rFonts w:ascii="Wingdings" w:hAnsi="Wingdings" w:hint="default"/>
      </w:rPr>
    </w:lvl>
    <w:lvl w:ilvl="6" w:tplc="2522FF18" w:tentative="1">
      <w:start w:val="1"/>
      <w:numFmt w:val="bullet"/>
      <w:lvlText w:val=""/>
      <w:lvlJc w:val="left"/>
      <w:pPr>
        <w:ind w:left="5040" w:hanging="360"/>
      </w:pPr>
      <w:rPr>
        <w:rFonts w:ascii="Symbol" w:hAnsi="Symbol" w:hint="default"/>
      </w:rPr>
    </w:lvl>
    <w:lvl w:ilvl="7" w:tplc="E6C6BE96" w:tentative="1">
      <w:start w:val="1"/>
      <w:numFmt w:val="bullet"/>
      <w:lvlText w:val="o"/>
      <w:lvlJc w:val="left"/>
      <w:pPr>
        <w:ind w:left="5760" w:hanging="360"/>
      </w:pPr>
      <w:rPr>
        <w:rFonts w:ascii="Courier New" w:hAnsi="Courier New" w:cs="Courier New" w:hint="default"/>
      </w:rPr>
    </w:lvl>
    <w:lvl w:ilvl="8" w:tplc="1BF62B58" w:tentative="1">
      <w:start w:val="1"/>
      <w:numFmt w:val="bullet"/>
      <w:lvlText w:val=""/>
      <w:lvlJc w:val="left"/>
      <w:pPr>
        <w:ind w:left="6480" w:hanging="360"/>
      </w:pPr>
      <w:rPr>
        <w:rFonts w:ascii="Wingdings" w:hAnsi="Wingdings" w:hint="default"/>
      </w:rPr>
    </w:lvl>
  </w:abstractNum>
  <w:abstractNum w:abstractNumId="1" w15:restartNumberingAfterBreak="0">
    <w:nsid w:val="01A724EB"/>
    <w:multiLevelType w:val="hybridMultilevel"/>
    <w:tmpl w:val="1A3A61E8"/>
    <w:lvl w:ilvl="0" w:tplc="E5322B28">
      <w:start w:val="1"/>
      <w:numFmt w:val="decimal"/>
      <w:lvlText w:val="%1."/>
      <w:lvlJc w:val="left"/>
      <w:pPr>
        <w:ind w:left="1440" w:hanging="360"/>
      </w:pPr>
    </w:lvl>
    <w:lvl w:ilvl="1" w:tplc="06508EB4" w:tentative="1">
      <w:start w:val="1"/>
      <w:numFmt w:val="lowerLetter"/>
      <w:lvlText w:val="%2."/>
      <w:lvlJc w:val="left"/>
      <w:pPr>
        <w:ind w:left="2160" w:hanging="360"/>
      </w:pPr>
    </w:lvl>
    <w:lvl w:ilvl="2" w:tplc="1690F578" w:tentative="1">
      <w:start w:val="1"/>
      <w:numFmt w:val="lowerRoman"/>
      <w:lvlText w:val="%3."/>
      <w:lvlJc w:val="right"/>
      <w:pPr>
        <w:ind w:left="2880" w:hanging="180"/>
      </w:pPr>
    </w:lvl>
    <w:lvl w:ilvl="3" w:tplc="BBAEBBF8" w:tentative="1">
      <w:start w:val="1"/>
      <w:numFmt w:val="decimal"/>
      <w:lvlText w:val="%4."/>
      <w:lvlJc w:val="left"/>
      <w:pPr>
        <w:ind w:left="3600" w:hanging="360"/>
      </w:pPr>
    </w:lvl>
    <w:lvl w:ilvl="4" w:tplc="CFACB5CE" w:tentative="1">
      <w:start w:val="1"/>
      <w:numFmt w:val="lowerLetter"/>
      <w:lvlText w:val="%5."/>
      <w:lvlJc w:val="left"/>
      <w:pPr>
        <w:ind w:left="4320" w:hanging="360"/>
      </w:pPr>
    </w:lvl>
    <w:lvl w:ilvl="5" w:tplc="0D9803E6" w:tentative="1">
      <w:start w:val="1"/>
      <w:numFmt w:val="lowerRoman"/>
      <w:lvlText w:val="%6."/>
      <w:lvlJc w:val="right"/>
      <w:pPr>
        <w:ind w:left="5040" w:hanging="180"/>
      </w:pPr>
    </w:lvl>
    <w:lvl w:ilvl="6" w:tplc="FE5806B8" w:tentative="1">
      <w:start w:val="1"/>
      <w:numFmt w:val="decimal"/>
      <w:lvlText w:val="%7."/>
      <w:lvlJc w:val="left"/>
      <w:pPr>
        <w:ind w:left="5760" w:hanging="360"/>
      </w:pPr>
    </w:lvl>
    <w:lvl w:ilvl="7" w:tplc="19682A0E" w:tentative="1">
      <w:start w:val="1"/>
      <w:numFmt w:val="lowerLetter"/>
      <w:lvlText w:val="%8."/>
      <w:lvlJc w:val="left"/>
      <w:pPr>
        <w:ind w:left="6480" w:hanging="360"/>
      </w:pPr>
    </w:lvl>
    <w:lvl w:ilvl="8" w:tplc="BF52581A" w:tentative="1">
      <w:start w:val="1"/>
      <w:numFmt w:val="lowerRoman"/>
      <w:lvlText w:val="%9."/>
      <w:lvlJc w:val="right"/>
      <w:pPr>
        <w:ind w:left="7200" w:hanging="180"/>
      </w:pPr>
    </w:lvl>
  </w:abstractNum>
  <w:abstractNum w:abstractNumId="2" w15:restartNumberingAfterBreak="0">
    <w:nsid w:val="090242BC"/>
    <w:multiLevelType w:val="hybridMultilevel"/>
    <w:tmpl w:val="CB889E96"/>
    <w:lvl w:ilvl="0" w:tplc="353C9C1A">
      <w:start w:val="1"/>
      <w:numFmt w:val="bullet"/>
      <w:lvlText w:val=""/>
      <w:lvlJc w:val="left"/>
      <w:pPr>
        <w:ind w:left="720" w:hanging="360"/>
      </w:pPr>
      <w:rPr>
        <w:rFonts w:ascii="Wingdings" w:hAnsi="Wingdings" w:hint="default"/>
      </w:rPr>
    </w:lvl>
    <w:lvl w:ilvl="1" w:tplc="FE2CAACA" w:tentative="1">
      <w:start w:val="1"/>
      <w:numFmt w:val="bullet"/>
      <w:lvlText w:val="o"/>
      <w:lvlJc w:val="left"/>
      <w:pPr>
        <w:ind w:left="1440" w:hanging="360"/>
      </w:pPr>
      <w:rPr>
        <w:rFonts w:ascii="Courier New" w:hAnsi="Courier New" w:cs="Courier New" w:hint="default"/>
      </w:rPr>
    </w:lvl>
    <w:lvl w:ilvl="2" w:tplc="7BE21A3C" w:tentative="1">
      <w:start w:val="1"/>
      <w:numFmt w:val="bullet"/>
      <w:lvlText w:val=""/>
      <w:lvlJc w:val="left"/>
      <w:pPr>
        <w:ind w:left="2160" w:hanging="360"/>
      </w:pPr>
      <w:rPr>
        <w:rFonts w:ascii="Wingdings" w:hAnsi="Wingdings" w:hint="default"/>
      </w:rPr>
    </w:lvl>
    <w:lvl w:ilvl="3" w:tplc="D642298E" w:tentative="1">
      <w:start w:val="1"/>
      <w:numFmt w:val="bullet"/>
      <w:lvlText w:val=""/>
      <w:lvlJc w:val="left"/>
      <w:pPr>
        <w:ind w:left="2880" w:hanging="360"/>
      </w:pPr>
      <w:rPr>
        <w:rFonts w:ascii="Symbol" w:hAnsi="Symbol" w:hint="default"/>
      </w:rPr>
    </w:lvl>
    <w:lvl w:ilvl="4" w:tplc="B8867B22" w:tentative="1">
      <w:start w:val="1"/>
      <w:numFmt w:val="bullet"/>
      <w:lvlText w:val="o"/>
      <w:lvlJc w:val="left"/>
      <w:pPr>
        <w:ind w:left="3600" w:hanging="360"/>
      </w:pPr>
      <w:rPr>
        <w:rFonts w:ascii="Courier New" w:hAnsi="Courier New" w:cs="Courier New" w:hint="default"/>
      </w:rPr>
    </w:lvl>
    <w:lvl w:ilvl="5" w:tplc="52F87972" w:tentative="1">
      <w:start w:val="1"/>
      <w:numFmt w:val="bullet"/>
      <w:lvlText w:val=""/>
      <w:lvlJc w:val="left"/>
      <w:pPr>
        <w:ind w:left="4320" w:hanging="360"/>
      </w:pPr>
      <w:rPr>
        <w:rFonts w:ascii="Wingdings" w:hAnsi="Wingdings" w:hint="default"/>
      </w:rPr>
    </w:lvl>
    <w:lvl w:ilvl="6" w:tplc="8098CDDA" w:tentative="1">
      <w:start w:val="1"/>
      <w:numFmt w:val="bullet"/>
      <w:lvlText w:val=""/>
      <w:lvlJc w:val="left"/>
      <w:pPr>
        <w:ind w:left="5040" w:hanging="360"/>
      </w:pPr>
      <w:rPr>
        <w:rFonts w:ascii="Symbol" w:hAnsi="Symbol" w:hint="default"/>
      </w:rPr>
    </w:lvl>
    <w:lvl w:ilvl="7" w:tplc="DBC238AE" w:tentative="1">
      <w:start w:val="1"/>
      <w:numFmt w:val="bullet"/>
      <w:lvlText w:val="o"/>
      <w:lvlJc w:val="left"/>
      <w:pPr>
        <w:ind w:left="5760" w:hanging="360"/>
      </w:pPr>
      <w:rPr>
        <w:rFonts w:ascii="Courier New" w:hAnsi="Courier New" w:cs="Courier New" w:hint="default"/>
      </w:rPr>
    </w:lvl>
    <w:lvl w:ilvl="8" w:tplc="FE242E30" w:tentative="1">
      <w:start w:val="1"/>
      <w:numFmt w:val="bullet"/>
      <w:lvlText w:val=""/>
      <w:lvlJc w:val="left"/>
      <w:pPr>
        <w:ind w:left="6480" w:hanging="360"/>
      </w:pPr>
      <w:rPr>
        <w:rFonts w:ascii="Wingdings" w:hAnsi="Wingdings" w:hint="default"/>
      </w:rPr>
    </w:lvl>
  </w:abstractNum>
  <w:abstractNum w:abstractNumId="3" w15:restartNumberingAfterBreak="0">
    <w:nsid w:val="1415228C"/>
    <w:multiLevelType w:val="hybridMultilevel"/>
    <w:tmpl w:val="232837DA"/>
    <w:lvl w:ilvl="0" w:tplc="5BBC9F14">
      <w:start w:val="1"/>
      <w:numFmt w:val="decimal"/>
      <w:lvlText w:val="%1."/>
      <w:lvlJc w:val="left"/>
      <w:pPr>
        <w:ind w:left="1778" w:hanging="360"/>
      </w:pPr>
      <w:rPr>
        <w:rFonts w:hint="default"/>
      </w:rPr>
    </w:lvl>
    <w:lvl w:ilvl="1" w:tplc="6DAA7EE8" w:tentative="1">
      <w:start w:val="1"/>
      <w:numFmt w:val="lowerLetter"/>
      <w:lvlText w:val="%2."/>
      <w:lvlJc w:val="left"/>
      <w:pPr>
        <w:ind w:left="1440" w:hanging="360"/>
      </w:pPr>
    </w:lvl>
    <w:lvl w:ilvl="2" w:tplc="1130CCE2" w:tentative="1">
      <w:start w:val="1"/>
      <w:numFmt w:val="lowerRoman"/>
      <w:lvlText w:val="%3."/>
      <w:lvlJc w:val="right"/>
      <w:pPr>
        <w:ind w:left="2160" w:hanging="180"/>
      </w:pPr>
    </w:lvl>
    <w:lvl w:ilvl="3" w:tplc="73621424" w:tentative="1">
      <w:start w:val="1"/>
      <w:numFmt w:val="decimal"/>
      <w:lvlText w:val="%4."/>
      <w:lvlJc w:val="left"/>
      <w:pPr>
        <w:ind w:left="2880" w:hanging="360"/>
      </w:pPr>
    </w:lvl>
    <w:lvl w:ilvl="4" w:tplc="150EF7B2" w:tentative="1">
      <w:start w:val="1"/>
      <w:numFmt w:val="lowerLetter"/>
      <w:lvlText w:val="%5."/>
      <w:lvlJc w:val="left"/>
      <w:pPr>
        <w:ind w:left="3600" w:hanging="360"/>
      </w:pPr>
    </w:lvl>
    <w:lvl w:ilvl="5" w:tplc="E8F49DCE" w:tentative="1">
      <w:start w:val="1"/>
      <w:numFmt w:val="lowerRoman"/>
      <w:lvlText w:val="%6."/>
      <w:lvlJc w:val="right"/>
      <w:pPr>
        <w:ind w:left="4320" w:hanging="180"/>
      </w:pPr>
    </w:lvl>
    <w:lvl w:ilvl="6" w:tplc="7760414A" w:tentative="1">
      <w:start w:val="1"/>
      <w:numFmt w:val="decimal"/>
      <w:lvlText w:val="%7."/>
      <w:lvlJc w:val="left"/>
      <w:pPr>
        <w:ind w:left="5040" w:hanging="360"/>
      </w:pPr>
    </w:lvl>
    <w:lvl w:ilvl="7" w:tplc="20689CC2" w:tentative="1">
      <w:start w:val="1"/>
      <w:numFmt w:val="lowerLetter"/>
      <w:lvlText w:val="%8."/>
      <w:lvlJc w:val="left"/>
      <w:pPr>
        <w:ind w:left="5760" w:hanging="360"/>
      </w:pPr>
    </w:lvl>
    <w:lvl w:ilvl="8" w:tplc="2C9491D6" w:tentative="1">
      <w:start w:val="1"/>
      <w:numFmt w:val="lowerRoman"/>
      <w:lvlText w:val="%9."/>
      <w:lvlJc w:val="right"/>
      <w:pPr>
        <w:ind w:left="6480" w:hanging="180"/>
      </w:pPr>
    </w:lvl>
  </w:abstractNum>
  <w:abstractNum w:abstractNumId="4" w15:restartNumberingAfterBreak="0">
    <w:nsid w:val="141933C3"/>
    <w:multiLevelType w:val="hybridMultilevel"/>
    <w:tmpl w:val="14C2C746"/>
    <w:lvl w:ilvl="0" w:tplc="A9D4C020">
      <w:start w:val="1"/>
      <w:numFmt w:val="bullet"/>
      <w:lvlText w:val=""/>
      <w:lvlJc w:val="left"/>
      <w:pPr>
        <w:ind w:left="720" w:hanging="360"/>
      </w:pPr>
      <w:rPr>
        <w:rFonts w:ascii="Wingdings" w:hAnsi="Wingdings" w:hint="default"/>
      </w:rPr>
    </w:lvl>
    <w:lvl w:ilvl="1" w:tplc="2E6AF7C0" w:tentative="1">
      <w:start w:val="1"/>
      <w:numFmt w:val="bullet"/>
      <w:lvlText w:val="o"/>
      <w:lvlJc w:val="left"/>
      <w:pPr>
        <w:ind w:left="1440" w:hanging="360"/>
      </w:pPr>
      <w:rPr>
        <w:rFonts w:ascii="Courier New" w:hAnsi="Courier New" w:cs="Courier New" w:hint="default"/>
      </w:rPr>
    </w:lvl>
    <w:lvl w:ilvl="2" w:tplc="47E0E97A" w:tentative="1">
      <w:start w:val="1"/>
      <w:numFmt w:val="bullet"/>
      <w:lvlText w:val=""/>
      <w:lvlJc w:val="left"/>
      <w:pPr>
        <w:ind w:left="2160" w:hanging="360"/>
      </w:pPr>
      <w:rPr>
        <w:rFonts w:ascii="Wingdings" w:hAnsi="Wingdings" w:hint="default"/>
      </w:rPr>
    </w:lvl>
    <w:lvl w:ilvl="3" w:tplc="7084E358" w:tentative="1">
      <w:start w:val="1"/>
      <w:numFmt w:val="bullet"/>
      <w:lvlText w:val=""/>
      <w:lvlJc w:val="left"/>
      <w:pPr>
        <w:ind w:left="2880" w:hanging="360"/>
      </w:pPr>
      <w:rPr>
        <w:rFonts w:ascii="Symbol" w:hAnsi="Symbol" w:hint="default"/>
      </w:rPr>
    </w:lvl>
    <w:lvl w:ilvl="4" w:tplc="49D62538" w:tentative="1">
      <w:start w:val="1"/>
      <w:numFmt w:val="bullet"/>
      <w:lvlText w:val="o"/>
      <w:lvlJc w:val="left"/>
      <w:pPr>
        <w:ind w:left="3600" w:hanging="360"/>
      </w:pPr>
      <w:rPr>
        <w:rFonts w:ascii="Courier New" w:hAnsi="Courier New" w:cs="Courier New" w:hint="default"/>
      </w:rPr>
    </w:lvl>
    <w:lvl w:ilvl="5" w:tplc="53D470CA" w:tentative="1">
      <w:start w:val="1"/>
      <w:numFmt w:val="bullet"/>
      <w:lvlText w:val=""/>
      <w:lvlJc w:val="left"/>
      <w:pPr>
        <w:ind w:left="4320" w:hanging="360"/>
      </w:pPr>
      <w:rPr>
        <w:rFonts w:ascii="Wingdings" w:hAnsi="Wingdings" w:hint="default"/>
      </w:rPr>
    </w:lvl>
    <w:lvl w:ilvl="6" w:tplc="5B2891B2" w:tentative="1">
      <w:start w:val="1"/>
      <w:numFmt w:val="bullet"/>
      <w:lvlText w:val=""/>
      <w:lvlJc w:val="left"/>
      <w:pPr>
        <w:ind w:left="5040" w:hanging="360"/>
      </w:pPr>
      <w:rPr>
        <w:rFonts w:ascii="Symbol" w:hAnsi="Symbol" w:hint="default"/>
      </w:rPr>
    </w:lvl>
    <w:lvl w:ilvl="7" w:tplc="C61A6914" w:tentative="1">
      <w:start w:val="1"/>
      <w:numFmt w:val="bullet"/>
      <w:lvlText w:val="o"/>
      <w:lvlJc w:val="left"/>
      <w:pPr>
        <w:ind w:left="5760" w:hanging="360"/>
      </w:pPr>
      <w:rPr>
        <w:rFonts w:ascii="Courier New" w:hAnsi="Courier New" w:cs="Courier New" w:hint="default"/>
      </w:rPr>
    </w:lvl>
    <w:lvl w:ilvl="8" w:tplc="971238C0" w:tentative="1">
      <w:start w:val="1"/>
      <w:numFmt w:val="bullet"/>
      <w:lvlText w:val=""/>
      <w:lvlJc w:val="left"/>
      <w:pPr>
        <w:ind w:left="6480" w:hanging="360"/>
      </w:pPr>
      <w:rPr>
        <w:rFonts w:ascii="Wingdings" w:hAnsi="Wingdings" w:hint="default"/>
      </w:rPr>
    </w:lvl>
  </w:abstractNum>
  <w:abstractNum w:abstractNumId="5" w15:restartNumberingAfterBreak="0">
    <w:nsid w:val="2A105D73"/>
    <w:multiLevelType w:val="hybridMultilevel"/>
    <w:tmpl w:val="D9623EDC"/>
    <w:lvl w:ilvl="0" w:tplc="D466E464">
      <w:start w:val="2"/>
      <w:numFmt w:val="bullet"/>
      <w:lvlText w:val=""/>
      <w:lvlJc w:val="left"/>
      <w:pPr>
        <w:ind w:left="720" w:hanging="360"/>
      </w:pPr>
      <w:rPr>
        <w:rFonts w:ascii="Symbol" w:eastAsiaTheme="minorHAnsi" w:hAnsi="Symbol" w:cs="Times New Roman" w:hint="default"/>
      </w:rPr>
    </w:lvl>
    <w:lvl w:ilvl="1" w:tplc="747AFA9A" w:tentative="1">
      <w:start w:val="1"/>
      <w:numFmt w:val="bullet"/>
      <w:lvlText w:val="o"/>
      <w:lvlJc w:val="left"/>
      <w:pPr>
        <w:ind w:left="1440" w:hanging="360"/>
      </w:pPr>
      <w:rPr>
        <w:rFonts w:ascii="Courier New" w:hAnsi="Courier New" w:cs="Courier New" w:hint="default"/>
      </w:rPr>
    </w:lvl>
    <w:lvl w:ilvl="2" w:tplc="9968AC58" w:tentative="1">
      <w:start w:val="1"/>
      <w:numFmt w:val="bullet"/>
      <w:lvlText w:val=""/>
      <w:lvlJc w:val="left"/>
      <w:pPr>
        <w:ind w:left="2160" w:hanging="360"/>
      </w:pPr>
      <w:rPr>
        <w:rFonts w:ascii="Wingdings" w:hAnsi="Wingdings" w:hint="default"/>
      </w:rPr>
    </w:lvl>
    <w:lvl w:ilvl="3" w:tplc="194E46BC" w:tentative="1">
      <w:start w:val="1"/>
      <w:numFmt w:val="bullet"/>
      <w:lvlText w:val=""/>
      <w:lvlJc w:val="left"/>
      <w:pPr>
        <w:ind w:left="2880" w:hanging="360"/>
      </w:pPr>
      <w:rPr>
        <w:rFonts w:ascii="Symbol" w:hAnsi="Symbol" w:hint="default"/>
      </w:rPr>
    </w:lvl>
    <w:lvl w:ilvl="4" w:tplc="0A7A667E" w:tentative="1">
      <w:start w:val="1"/>
      <w:numFmt w:val="bullet"/>
      <w:lvlText w:val="o"/>
      <w:lvlJc w:val="left"/>
      <w:pPr>
        <w:ind w:left="3600" w:hanging="360"/>
      </w:pPr>
      <w:rPr>
        <w:rFonts w:ascii="Courier New" w:hAnsi="Courier New" w:cs="Courier New" w:hint="default"/>
      </w:rPr>
    </w:lvl>
    <w:lvl w:ilvl="5" w:tplc="8E62E02E" w:tentative="1">
      <w:start w:val="1"/>
      <w:numFmt w:val="bullet"/>
      <w:lvlText w:val=""/>
      <w:lvlJc w:val="left"/>
      <w:pPr>
        <w:ind w:left="4320" w:hanging="360"/>
      </w:pPr>
      <w:rPr>
        <w:rFonts w:ascii="Wingdings" w:hAnsi="Wingdings" w:hint="default"/>
      </w:rPr>
    </w:lvl>
    <w:lvl w:ilvl="6" w:tplc="07D4B91E" w:tentative="1">
      <w:start w:val="1"/>
      <w:numFmt w:val="bullet"/>
      <w:lvlText w:val=""/>
      <w:lvlJc w:val="left"/>
      <w:pPr>
        <w:ind w:left="5040" w:hanging="360"/>
      </w:pPr>
      <w:rPr>
        <w:rFonts w:ascii="Symbol" w:hAnsi="Symbol" w:hint="default"/>
      </w:rPr>
    </w:lvl>
    <w:lvl w:ilvl="7" w:tplc="40508FD6" w:tentative="1">
      <w:start w:val="1"/>
      <w:numFmt w:val="bullet"/>
      <w:lvlText w:val="o"/>
      <w:lvlJc w:val="left"/>
      <w:pPr>
        <w:ind w:left="5760" w:hanging="360"/>
      </w:pPr>
      <w:rPr>
        <w:rFonts w:ascii="Courier New" w:hAnsi="Courier New" w:cs="Courier New" w:hint="default"/>
      </w:rPr>
    </w:lvl>
    <w:lvl w:ilvl="8" w:tplc="77F42EA6" w:tentative="1">
      <w:start w:val="1"/>
      <w:numFmt w:val="bullet"/>
      <w:lvlText w:val=""/>
      <w:lvlJc w:val="left"/>
      <w:pPr>
        <w:ind w:left="6480" w:hanging="360"/>
      </w:pPr>
      <w:rPr>
        <w:rFonts w:ascii="Wingdings" w:hAnsi="Wingdings" w:hint="default"/>
      </w:rPr>
    </w:lvl>
  </w:abstractNum>
  <w:abstractNum w:abstractNumId="6" w15:restartNumberingAfterBreak="0">
    <w:nsid w:val="3A4D5738"/>
    <w:multiLevelType w:val="hybridMultilevel"/>
    <w:tmpl w:val="B470C96C"/>
    <w:lvl w:ilvl="0" w:tplc="D5580EB8">
      <w:start w:val="1"/>
      <w:numFmt w:val="bullet"/>
      <w:lvlText w:val=""/>
      <w:lvlJc w:val="left"/>
      <w:pPr>
        <w:ind w:left="720" w:hanging="360"/>
      </w:pPr>
      <w:rPr>
        <w:rFonts w:ascii="Wingdings" w:hAnsi="Wingdings" w:hint="default"/>
      </w:rPr>
    </w:lvl>
    <w:lvl w:ilvl="1" w:tplc="2E58609C" w:tentative="1">
      <w:start w:val="1"/>
      <w:numFmt w:val="bullet"/>
      <w:lvlText w:val="o"/>
      <w:lvlJc w:val="left"/>
      <w:pPr>
        <w:ind w:left="1440" w:hanging="360"/>
      </w:pPr>
      <w:rPr>
        <w:rFonts w:ascii="Courier New" w:hAnsi="Courier New" w:cs="Courier New" w:hint="default"/>
      </w:rPr>
    </w:lvl>
    <w:lvl w:ilvl="2" w:tplc="BC3E2452" w:tentative="1">
      <w:start w:val="1"/>
      <w:numFmt w:val="bullet"/>
      <w:lvlText w:val=""/>
      <w:lvlJc w:val="left"/>
      <w:pPr>
        <w:ind w:left="2160" w:hanging="360"/>
      </w:pPr>
      <w:rPr>
        <w:rFonts w:ascii="Wingdings" w:hAnsi="Wingdings" w:hint="default"/>
      </w:rPr>
    </w:lvl>
    <w:lvl w:ilvl="3" w:tplc="DDE42890" w:tentative="1">
      <w:start w:val="1"/>
      <w:numFmt w:val="bullet"/>
      <w:lvlText w:val=""/>
      <w:lvlJc w:val="left"/>
      <w:pPr>
        <w:ind w:left="2880" w:hanging="360"/>
      </w:pPr>
      <w:rPr>
        <w:rFonts w:ascii="Symbol" w:hAnsi="Symbol" w:hint="default"/>
      </w:rPr>
    </w:lvl>
    <w:lvl w:ilvl="4" w:tplc="8CD441D2" w:tentative="1">
      <w:start w:val="1"/>
      <w:numFmt w:val="bullet"/>
      <w:lvlText w:val="o"/>
      <w:lvlJc w:val="left"/>
      <w:pPr>
        <w:ind w:left="3600" w:hanging="360"/>
      </w:pPr>
      <w:rPr>
        <w:rFonts w:ascii="Courier New" w:hAnsi="Courier New" w:cs="Courier New" w:hint="default"/>
      </w:rPr>
    </w:lvl>
    <w:lvl w:ilvl="5" w:tplc="A71A0270" w:tentative="1">
      <w:start w:val="1"/>
      <w:numFmt w:val="bullet"/>
      <w:lvlText w:val=""/>
      <w:lvlJc w:val="left"/>
      <w:pPr>
        <w:ind w:left="4320" w:hanging="360"/>
      </w:pPr>
      <w:rPr>
        <w:rFonts w:ascii="Wingdings" w:hAnsi="Wingdings" w:hint="default"/>
      </w:rPr>
    </w:lvl>
    <w:lvl w:ilvl="6" w:tplc="F6A829EC" w:tentative="1">
      <w:start w:val="1"/>
      <w:numFmt w:val="bullet"/>
      <w:lvlText w:val=""/>
      <w:lvlJc w:val="left"/>
      <w:pPr>
        <w:ind w:left="5040" w:hanging="360"/>
      </w:pPr>
      <w:rPr>
        <w:rFonts w:ascii="Symbol" w:hAnsi="Symbol" w:hint="default"/>
      </w:rPr>
    </w:lvl>
    <w:lvl w:ilvl="7" w:tplc="B9F09F24" w:tentative="1">
      <w:start w:val="1"/>
      <w:numFmt w:val="bullet"/>
      <w:lvlText w:val="o"/>
      <w:lvlJc w:val="left"/>
      <w:pPr>
        <w:ind w:left="5760" w:hanging="360"/>
      </w:pPr>
      <w:rPr>
        <w:rFonts w:ascii="Courier New" w:hAnsi="Courier New" w:cs="Courier New" w:hint="default"/>
      </w:rPr>
    </w:lvl>
    <w:lvl w:ilvl="8" w:tplc="99A02E8E" w:tentative="1">
      <w:start w:val="1"/>
      <w:numFmt w:val="bullet"/>
      <w:lvlText w:val=""/>
      <w:lvlJc w:val="left"/>
      <w:pPr>
        <w:ind w:left="6480" w:hanging="360"/>
      </w:pPr>
      <w:rPr>
        <w:rFonts w:ascii="Wingdings" w:hAnsi="Wingdings" w:hint="default"/>
      </w:rPr>
    </w:lvl>
  </w:abstractNum>
  <w:abstractNum w:abstractNumId="7" w15:restartNumberingAfterBreak="0">
    <w:nsid w:val="3BF90D3F"/>
    <w:multiLevelType w:val="hybridMultilevel"/>
    <w:tmpl w:val="A080C01A"/>
    <w:lvl w:ilvl="0" w:tplc="3A3091C4">
      <w:start w:val="1"/>
      <w:numFmt w:val="bullet"/>
      <w:lvlText w:val=""/>
      <w:lvlJc w:val="left"/>
      <w:pPr>
        <w:ind w:left="720" w:hanging="360"/>
      </w:pPr>
      <w:rPr>
        <w:rFonts w:ascii="Wingdings" w:hAnsi="Wingdings" w:hint="default"/>
      </w:rPr>
    </w:lvl>
    <w:lvl w:ilvl="1" w:tplc="776E3856" w:tentative="1">
      <w:start w:val="1"/>
      <w:numFmt w:val="bullet"/>
      <w:lvlText w:val="o"/>
      <w:lvlJc w:val="left"/>
      <w:pPr>
        <w:ind w:left="1440" w:hanging="360"/>
      </w:pPr>
      <w:rPr>
        <w:rFonts w:ascii="Courier New" w:hAnsi="Courier New" w:cs="Courier New" w:hint="default"/>
      </w:rPr>
    </w:lvl>
    <w:lvl w:ilvl="2" w:tplc="C9AA1786" w:tentative="1">
      <w:start w:val="1"/>
      <w:numFmt w:val="bullet"/>
      <w:lvlText w:val=""/>
      <w:lvlJc w:val="left"/>
      <w:pPr>
        <w:ind w:left="2160" w:hanging="360"/>
      </w:pPr>
      <w:rPr>
        <w:rFonts w:ascii="Wingdings" w:hAnsi="Wingdings" w:hint="default"/>
      </w:rPr>
    </w:lvl>
    <w:lvl w:ilvl="3" w:tplc="E0907C8C" w:tentative="1">
      <w:start w:val="1"/>
      <w:numFmt w:val="bullet"/>
      <w:lvlText w:val=""/>
      <w:lvlJc w:val="left"/>
      <w:pPr>
        <w:ind w:left="2880" w:hanging="360"/>
      </w:pPr>
      <w:rPr>
        <w:rFonts w:ascii="Symbol" w:hAnsi="Symbol" w:hint="default"/>
      </w:rPr>
    </w:lvl>
    <w:lvl w:ilvl="4" w:tplc="8032747C" w:tentative="1">
      <w:start w:val="1"/>
      <w:numFmt w:val="bullet"/>
      <w:lvlText w:val="o"/>
      <w:lvlJc w:val="left"/>
      <w:pPr>
        <w:ind w:left="3600" w:hanging="360"/>
      </w:pPr>
      <w:rPr>
        <w:rFonts w:ascii="Courier New" w:hAnsi="Courier New" w:cs="Courier New" w:hint="default"/>
      </w:rPr>
    </w:lvl>
    <w:lvl w:ilvl="5" w:tplc="4F3C0530" w:tentative="1">
      <w:start w:val="1"/>
      <w:numFmt w:val="bullet"/>
      <w:lvlText w:val=""/>
      <w:lvlJc w:val="left"/>
      <w:pPr>
        <w:ind w:left="4320" w:hanging="360"/>
      </w:pPr>
      <w:rPr>
        <w:rFonts w:ascii="Wingdings" w:hAnsi="Wingdings" w:hint="default"/>
      </w:rPr>
    </w:lvl>
    <w:lvl w:ilvl="6" w:tplc="6B8EB564" w:tentative="1">
      <w:start w:val="1"/>
      <w:numFmt w:val="bullet"/>
      <w:lvlText w:val=""/>
      <w:lvlJc w:val="left"/>
      <w:pPr>
        <w:ind w:left="5040" w:hanging="360"/>
      </w:pPr>
      <w:rPr>
        <w:rFonts w:ascii="Symbol" w:hAnsi="Symbol" w:hint="default"/>
      </w:rPr>
    </w:lvl>
    <w:lvl w:ilvl="7" w:tplc="5C602C92" w:tentative="1">
      <w:start w:val="1"/>
      <w:numFmt w:val="bullet"/>
      <w:lvlText w:val="o"/>
      <w:lvlJc w:val="left"/>
      <w:pPr>
        <w:ind w:left="5760" w:hanging="360"/>
      </w:pPr>
      <w:rPr>
        <w:rFonts w:ascii="Courier New" w:hAnsi="Courier New" w:cs="Courier New" w:hint="default"/>
      </w:rPr>
    </w:lvl>
    <w:lvl w:ilvl="8" w:tplc="2A50AE7C" w:tentative="1">
      <w:start w:val="1"/>
      <w:numFmt w:val="bullet"/>
      <w:lvlText w:val=""/>
      <w:lvlJc w:val="left"/>
      <w:pPr>
        <w:ind w:left="6480" w:hanging="360"/>
      </w:pPr>
      <w:rPr>
        <w:rFonts w:ascii="Wingdings" w:hAnsi="Wingdings" w:hint="default"/>
      </w:rPr>
    </w:lvl>
  </w:abstractNum>
  <w:abstractNum w:abstractNumId="8" w15:restartNumberingAfterBreak="0">
    <w:nsid w:val="4B7F1BE2"/>
    <w:multiLevelType w:val="hybridMultilevel"/>
    <w:tmpl w:val="B830BD54"/>
    <w:lvl w:ilvl="0" w:tplc="913C3CFE">
      <w:start w:val="1"/>
      <w:numFmt w:val="bullet"/>
      <w:lvlText w:val=""/>
      <w:lvlJc w:val="left"/>
      <w:pPr>
        <w:ind w:left="720" w:hanging="360"/>
      </w:pPr>
      <w:rPr>
        <w:rFonts w:ascii="Symbol" w:hAnsi="Symbol" w:hint="default"/>
      </w:rPr>
    </w:lvl>
    <w:lvl w:ilvl="1" w:tplc="466CF2BA" w:tentative="1">
      <w:start w:val="1"/>
      <w:numFmt w:val="bullet"/>
      <w:lvlText w:val="o"/>
      <w:lvlJc w:val="left"/>
      <w:pPr>
        <w:ind w:left="1440" w:hanging="360"/>
      </w:pPr>
      <w:rPr>
        <w:rFonts w:ascii="Courier New" w:hAnsi="Courier New" w:cs="Courier New" w:hint="default"/>
      </w:rPr>
    </w:lvl>
    <w:lvl w:ilvl="2" w:tplc="489E3F1A" w:tentative="1">
      <w:start w:val="1"/>
      <w:numFmt w:val="bullet"/>
      <w:lvlText w:val=""/>
      <w:lvlJc w:val="left"/>
      <w:pPr>
        <w:ind w:left="2160" w:hanging="360"/>
      </w:pPr>
      <w:rPr>
        <w:rFonts w:ascii="Wingdings" w:hAnsi="Wingdings" w:hint="default"/>
      </w:rPr>
    </w:lvl>
    <w:lvl w:ilvl="3" w:tplc="5B46020A" w:tentative="1">
      <w:start w:val="1"/>
      <w:numFmt w:val="bullet"/>
      <w:lvlText w:val=""/>
      <w:lvlJc w:val="left"/>
      <w:pPr>
        <w:ind w:left="2880" w:hanging="360"/>
      </w:pPr>
      <w:rPr>
        <w:rFonts w:ascii="Symbol" w:hAnsi="Symbol" w:hint="default"/>
      </w:rPr>
    </w:lvl>
    <w:lvl w:ilvl="4" w:tplc="93D869A0" w:tentative="1">
      <w:start w:val="1"/>
      <w:numFmt w:val="bullet"/>
      <w:lvlText w:val="o"/>
      <w:lvlJc w:val="left"/>
      <w:pPr>
        <w:ind w:left="3600" w:hanging="360"/>
      </w:pPr>
      <w:rPr>
        <w:rFonts w:ascii="Courier New" w:hAnsi="Courier New" w:cs="Courier New" w:hint="default"/>
      </w:rPr>
    </w:lvl>
    <w:lvl w:ilvl="5" w:tplc="78A6E912" w:tentative="1">
      <w:start w:val="1"/>
      <w:numFmt w:val="bullet"/>
      <w:lvlText w:val=""/>
      <w:lvlJc w:val="left"/>
      <w:pPr>
        <w:ind w:left="4320" w:hanging="360"/>
      </w:pPr>
      <w:rPr>
        <w:rFonts w:ascii="Wingdings" w:hAnsi="Wingdings" w:hint="default"/>
      </w:rPr>
    </w:lvl>
    <w:lvl w:ilvl="6" w:tplc="E45AE9A0" w:tentative="1">
      <w:start w:val="1"/>
      <w:numFmt w:val="bullet"/>
      <w:lvlText w:val=""/>
      <w:lvlJc w:val="left"/>
      <w:pPr>
        <w:ind w:left="5040" w:hanging="360"/>
      </w:pPr>
      <w:rPr>
        <w:rFonts w:ascii="Symbol" w:hAnsi="Symbol" w:hint="default"/>
      </w:rPr>
    </w:lvl>
    <w:lvl w:ilvl="7" w:tplc="60B09394" w:tentative="1">
      <w:start w:val="1"/>
      <w:numFmt w:val="bullet"/>
      <w:lvlText w:val="o"/>
      <w:lvlJc w:val="left"/>
      <w:pPr>
        <w:ind w:left="5760" w:hanging="360"/>
      </w:pPr>
      <w:rPr>
        <w:rFonts w:ascii="Courier New" w:hAnsi="Courier New" w:cs="Courier New" w:hint="default"/>
      </w:rPr>
    </w:lvl>
    <w:lvl w:ilvl="8" w:tplc="3A94B7F4" w:tentative="1">
      <w:start w:val="1"/>
      <w:numFmt w:val="bullet"/>
      <w:lvlText w:val=""/>
      <w:lvlJc w:val="left"/>
      <w:pPr>
        <w:ind w:left="6480" w:hanging="360"/>
      </w:pPr>
      <w:rPr>
        <w:rFonts w:ascii="Wingdings" w:hAnsi="Wingdings" w:hint="default"/>
      </w:rPr>
    </w:lvl>
  </w:abstractNum>
  <w:abstractNum w:abstractNumId="9" w15:restartNumberingAfterBreak="0">
    <w:nsid w:val="4D310C7D"/>
    <w:multiLevelType w:val="hybridMultilevel"/>
    <w:tmpl w:val="2F5A0C5E"/>
    <w:lvl w:ilvl="0" w:tplc="A4F6E2A0">
      <w:start w:val="1"/>
      <w:numFmt w:val="decimal"/>
      <w:lvlText w:val="%1."/>
      <w:lvlJc w:val="left"/>
      <w:pPr>
        <w:ind w:left="1080" w:hanging="360"/>
      </w:pPr>
      <w:rPr>
        <w:b w:val="0"/>
      </w:rPr>
    </w:lvl>
    <w:lvl w:ilvl="1" w:tplc="D0D878CC" w:tentative="1">
      <w:start w:val="1"/>
      <w:numFmt w:val="lowerLetter"/>
      <w:lvlText w:val="%2."/>
      <w:lvlJc w:val="left"/>
      <w:pPr>
        <w:ind w:left="1800" w:hanging="360"/>
      </w:pPr>
    </w:lvl>
    <w:lvl w:ilvl="2" w:tplc="D0CE218E" w:tentative="1">
      <w:start w:val="1"/>
      <w:numFmt w:val="lowerRoman"/>
      <w:lvlText w:val="%3."/>
      <w:lvlJc w:val="right"/>
      <w:pPr>
        <w:ind w:left="2520" w:hanging="180"/>
      </w:pPr>
    </w:lvl>
    <w:lvl w:ilvl="3" w:tplc="BEF66450" w:tentative="1">
      <w:start w:val="1"/>
      <w:numFmt w:val="decimal"/>
      <w:lvlText w:val="%4."/>
      <w:lvlJc w:val="left"/>
      <w:pPr>
        <w:ind w:left="3240" w:hanging="360"/>
      </w:pPr>
    </w:lvl>
    <w:lvl w:ilvl="4" w:tplc="ED462EC8" w:tentative="1">
      <w:start w:val="1"/>
      <w:numFmt w:val="lowerLetter"/>
      <w:lvlText w:val="%5."/>
      <w:lvlJc w:val="left"/>
      <w:pPr>
        <w:ind w:left="3960" w:hanging="360"/>
      </w:pPr>
    </w:lvl>
    <w:lvl w:ilvl="5" w:tplc="F96096B2" w:tentative="1">
      <w:start w:val="1"/>
      <w:numFmt w:val="lowerRoman"/>
      <w:lvlText w:val="%6."/>
      <w:lvlJc w:val="right"/>
      <w:pPr>
        <w:ind w:left="4680" w:hanging="180"/>
      </w:pPr>
    </w:lvl>
    <w:lvl w:ilvl="6" w:tplc="A4B41364" w:tentative="1">
      <w:start w:val="1"/>
      <w:numFmt w:val="decimal"/>
      <w:lvlText w:val="%7."/>
      <w:lvlJc w:val="left"/>
      <w:pPr>
        <w:ind w:left="5400" w:hanging="360"/>
      </w:pPr>
    </w:lvl>
    <w:lvl w:ilvl="7" w:tplc="4468A78A" w:tentative="1">
      <w:start w:val="1"/>
      <w:numFmt w:val="lowerLetter"/>
      <w:lvlText w:val="%8."/>
      <w:lvlJc w:val="left"/>
      <w:pPr>
        <w:ind w:left="6120" w:hanging="360"/>
      </w:pPr>
    </w:lvl>
    <w:lvl w:ilvl="8" w:tplc="CA56EEE0" w:tentative="1">
      <w:start w:val="1"/>
      <w:numFmt w:val="lowerRoman"/>
      <w:lvlText w:val="%9."/>
      <w:lvlJc w:val="right"/>
      <w:pPr>
        <w:ind w:left="6840" w:hanging="180"/>
      </w:pPr>
    </w:lvl>
  </w:abstractNum>
  <w:abstractNum w:abstractNumId="10" w15:restartNumberingAfterBreak="0">
    <w:nsid w:val="58AB5C76"/>
    <w:multiLevelType w:val="hybridMultilevel"/>
    <w:tmpl w:val="3E664050"/>
    <w:lvl w:ilvl="0" w:tplc="0A244CA6">
      <w:start w:val="1"/>
      <w:numFmt w:val="decimal"/>
      <w:lvlText w:val="%1."/>
      <w:lvlJc w:val="left"/>
      <w:pPr>
        <w:ind w:left="720" w:hanging="360"/>
      </w:pPr>
      <w:rPr>
        <w:rFonts w:hint="default"/>
      </w:rPr>
    </w:lvl>
    <w:lvl w:ilvl="1" w:tplc="0BA61FBA" w:tentative="1">
      <w:start w:val="1"/>
      <w:numFmt w:val="lowerLetter"/>
      <w:lvlText w:val="%2."/>
      <w:lvlJc w:val="left"/>
      <w:pPr>
        <w:ind w:left="1440" w:hanging="360"/>
      </w:pPr>
    </w:lvl>
    <w:lvl w:ilvl="2" w:tplc="A268D8D8" w:tentative="1">
      <w:start w:val="1"/>
      <w:numFmt w:val="lowerRoman"/>
      <w:lvlText w:val="%3."/>
      <w:lvlJc w:val="right"/>
      <w:pPr>
        <w:ind w:left="2160" w:hanging="180"/>
      </w:pPr>
    </w:lvl>
    <w:lvl w:ilvl="3" w:tplc="516E63D2" w:tentative="1">
      <w:start w:val="1"/>
      <w:numFmt w:val="decimal"/>
      <w:lvlText w:val="%4."/>
      <w:lvlJc w:val="left"/>
      <w:pPr>
        <w:ind w:left="2880" w:hanging="360"/>
      </w:pPr>
    </w:lvl>
    <w:lvl w:ilvl="4" w:tplc="06BCD85E" w:tentative="1">
      <w:start w:val="1"/>
      <w:numFmt w:val="lowerLetter"/>
      <w:lvlText w:val="%5."/>
      <w:lvlJc w:val="left"/>
      <w:pPr>
        <w:ind w:left="3600" w:hanging="360"/>
      </w:pPr>
    </w:lvl>
    <w:lvl w:ilvl="5" w:tplc="47FCED58" w:tentative="1">
      <w:start w:val="1"/>
      <w:numFmt w:val="lowerRoman"/>
      <w:lvlText w:val="%6."/>
      <w:lvlJc w:val="right"/>
      <w:pPr>
        <w:ind w:left="4320" w:hanging="180"/>
      </w:pPr>
    </w:lvl>
    <w:lvl w:ilvl="6" w:tplc="E5D0E66E" w:tentative="1">
      <w:start w:val="1"/>
      <w:numFmt w:val="decimal"/>
      <w:lvlText w:val="%7."/>
      <w:lvlJc w:val="left"/>
      <w:pPr>
        <w:ind w:left="5040" w:hanging="360"/>
      </w:pPr>
    </w:lvl>
    <w:lvl w:ilvl="7" w:tplc="A2FE817C" w:tentative="1">
      <w:start w:val="1"/>
      <w:numFmt w:val="lowerLetter"/>
      <w:lvlText w:val="%8."/>
      <w:lvlJc w:val="left"/>
      <w:pPr>
        <w:ind w:left="5760" w:hanging="360"/>
      </w:pPr>
    </w:lvl>
    <w:lvl w:ilvl="8" w:tplc="DA00D12A" w:tentative="1">
      <w:start w:val="1"/>
      <w:numFmt w:val="lowerRoman"/>
      <w:lvlText w:val="%9."/>
      <w:lvlJc w:val="right"/>
      <w:pPr>
        <w:ind w:left="6480" w:hanging="180"/>
      </w:pPr>
    </w:lvl>
  </w:abstractNum>
  <w:abstractNum w:abstractNumId="11" w15:restartNumberingAfterBreak="0">
    <w:nsid w:val="5AFE1248"/>
    <w:multiLevelType w:val="hybridMultilevel"/>
    <w:tmpl w:val="2BCA5824"/>
    <w:lvl w:ilvl="0" w:tplc="9D4CE5F2">
      <w:start w:val="1"/>
      <w:numFmt w:val="decimal"/>
      <w:lvlText w:val="%1."/>
      <w:lvlJc w:val="left"/>
      <w:pPr>
        <w:ind w:left="720" w:hanging="360"/>
      </w:pPr>
    </w:lvl>
    <w:lvl w:ilvl="1" w:tplc="38A0C2A6" w:tentative="1">
      <w:start w:val="1"/>
      <w:numFmt w:val="lowerLetter"/>
      <w:lvlText w:val="%2."/>
      <w:lvlJc w:val="left"/>
      <w:pPr>
        <w:ind w:left="1440" w:hanging="360"/>
      </w:pPr>
    </w:lvl>
    <w:lvl w:ilvl="2" w:tplc="CC6E2F76" w:tentative="1">
      <w:start w:val="1"/>
      <w:numFmt w:val="lowerRoman"/>
      <w:lvlText w:val="%3."/>
      <w:lvlJc w:val="right"/>
      <w:pPr>
        <w:ind w:left="2160" w:hanging="180"/>
      </w:pPr>
    </w:lvl>
    <w:lvl w:ilvl="3" w:tplc="0936DEC4" w:tentative="1">
      <w:start w:val="1"/>
      <w:numFmt w:val="decimal"/>
      <w:lvlText w:val="%4."/>
      <w:lvlJc w:val="left"/>
      <w:pPr>
        <w:ind w:left="2880" w:hanging="360"/>
      </w:pPr>
    </w:lvl>
    <w:lvl w:ilvl="4" w:tplc="88709028" w:tentative="1">
      <w:start w:val="1"/>
      <w:numFmt w:val="lowerLetter"/>
      <w:lvlText w:val="%5."/>
      <w:lvlJc w:val="left"/>
      <w:pPr>
        <w:ind w:left="3600" w:hanging="360"/>
      </w:pPr>
    </w:lvl>
    <w:lvl w:ilvl="5" w:tplc="D5A4A8E4" w:tentative="1">
      <w:start w:val="1"/>
      <w:numFmt w:val="lowerRoman"/>
      <w:lvlText w:val="%6."/>
      <w:lvlJc w:val="right"/>
      <w:pPr>
        <w:ind w:left="4320" w:hanging="180"/>
      </w:pPr>
    </w:lvl>
    <w:lvl w:ilvl="6" w:tplc="E014F39A" w:tentative="1">
      <w:start w:val="1"/>
      <w:numFmt w:val="decimal"/>
      <w:lvlText w:val="%7."/>
      <w:lvlJc w:val="left"/>
      <w:pPr>
        <w:ind w:left="5040" w:hanging="360"/>
      </w:pPr>
    </w:lvl>
    <w:lvl w:ilvl="7" w:tplc="0AE68C5A" w:tentative="1">
      <w:start w:val="1"/>
      <w:numFmt w:val="lowerLetter"/>
      <w:lvlText w:val="%8."/>
      <w:lvlJc w:val="left"/>
      <w:pPr>
        <w:ind w:left="5760" w:hanging="360"/>
      </w:pPr>
    </w:lvl>
    <w:lvl w:ilvl="8" w:tplc="D3BEBA2C" w:tentative="1">
      <w:start w:val="1"/>
      <w:numFmt w:val="lowerRoman"/>
      <w:lvlText w:val="%9."/>
      <w:lvlJc w:val="right"/>
      <w:pPr>
        <w:ind w:left="6480" w:hanging="180"/>
      </w:pPr>
    </w:lvl>
  </w:abstractNum>
  <w:abstractNum w:abstractNumId="12" w15:restartNumberingAfterBreak="0">
    <w:nsid w:val="79BF5F3E"/>
    <w:multiLevelType w:val="hybridMultilevel"/>
    <w:tmpl w:val="2CC2839C"/>
    <w:lvl w:ilvl="0" w:tplc="A6FCBAA4">
      <w:start w:val="1"/>
      <w:numFmt w:val="bullet"/>
      <w:lvlText w:val=""/>
      <w:lvlJc w:val="left"/>
      <w:pPr>
        <w:ind w:left="720" w:hanging="360"/>
      </w:pPr>
      <w:rPr>
        <w:rFonts w:ascii="Wingdings" w:hAnsi="Wingdings" w:hint="default"/>
      </w:rPr>
    </w:lvl>
    <w:lvl w:ilvl="1" w:tplc="D9C4EEBC" w:tentative="1">
      <w:start w:val="1"/>
      <w:numFmt w:val="bullet"/>
      <w:lvlText w:val="o"/>
      <w:lvlJc w:val="left"/>
      <w:pPr>
        <w:ind w:left="1440" w:hanging="360"/>
      </w:pPr>
      <w:rPr>
        <w:rFonts w:ascii="Courier New" w:hAnsi="Courier New" w:cs="Courier New" w:hint="default"/>
      </w:rPr>
    </w:lvl>
    <w:lvl w:ilvl="2" w:tplc="6220D89A" w:tentative="1">
      <w:start w:val="1"/>
      <w:numFmt w:val="bullet"/>
      <w:lvlText w:val=""/>
      <w:lvlJc w:val="left"/>
      <w:pPr>
        <w:ind w:left="2160" w:hanging="360"/>
      </w:pPr>
      <w:rPr>
        <w:rFonts w:ascii="Wingdings" w:hAnsi="Wingdings" w:hint="default"/>
      </w:rPr>
    </w:lvl>
    <w:lvl w:ilvl="3" w:tplc="1BFAAC94" w:tentative="1">
      <w:start w:val="1"/>
      <w:numFmt w:val="bullet"/>
      <w:lvlText w:val=""/>
      <w:lvlJc w:val="left"/>
      <w:pPr>
        <w:ind w:left="2880" w:hanging="360"/>
      </w:pPr>
      <w:rPr>
        <w:rFonts w:ascii="Symbol" w:hAnsi="Symbol" w:hint="default"/>
      </w:rPr>
    </w:lvl>
    <w:lvl w:ilvl="4" w:tplc="3CD4EF38" w:tentative="1">
      <w:start w:val="1"/>
      <w:numFmt w:val="bullet"/>
      <w:lvlText w:val="o"/>
      <w:lvlJc w:val="left"/>
      <w:pPr>
        <w:ind w:left="3600" w:hanging="360"/>
      </w:pPr>
      <w:rPr>
        <w:rFonts w:ascii="Courier New" w:hAnsi="Courier New" w:cs="Courier New" w:hint="default"/>
      </w:rPr>
    </w:lvl>
    <w:lvl w:ilvl="5" w:tplc="CAD6080C" w:tentative="1">
      <w:start w:val="1"/>
      <w:numFmt w:val="bullet"/>
      <w:lvlText w:val=""/>
      <w:lvlJc w:val="left"/>
      <w:pPr>
        <w:ind w:left="4320" w:hanging="360"/>
      </w:pPr>
      <w:rPr>
        <w:rFonts w:ascii="Wingdings" w:hAnsi="Wingdings" w:hint="default"/>
      </w:rPr>
    </w:lvl>
    <w:lvl w:ilvl="6" w:tplc="296A5574" w:tentative="1">
      <w:start w:val="1"/>
      <w:numFmt w:val="bullet"/>
      <w:lvlText w:val=""/>
      <w:lvlJc w:val="left"/>
      <w:pPr>
        <w:ind w:left="5040" w:hanging="360"/>
      </w:pPr>
      <w:rPr>
        <w:rFonts w:ascii="Symbol" w:hAnsi="Symbol" w:hint="default"/>
      </w:rPr>
    </w:lvl>
    <w:lvl w:ilvl="7" w:tplc="D4A42AEC" w:tentative="1">
      <w:start w:val="1"/>
      <w:numFmt w:val="bullet"/>
      <w:lvlText w:val="o"/>
      <w:lvlJc w:val="left"/>
      <w:pPr>
        <w:ind w:left="5760" w:hanging="360"/>
      </w:pPr>
      <w:rPr>
        <w:rFonts w:ascii="Courier New" w:hAnsi="Courier New" w:cs="Courier New" w:hint="default"/>
      </w:rPr>
    </w:lvl>
    <w:lvl w:ilvl="8" w:tplc="F9F84BCA" w:tentative="1">
      <w:start w:val="1"/>
      <w:numFmt w:val="bullet"/>
      <w:lvlText w:val=""/>
      <w:lvlJc w:val="left"/>
      <w:pPr>
        <w:ind w:left="6480" w:hanging="360"/>
      </w:pPr>
      <w:rPr>
        <w:rFonts w:ascii="Wingdings" w:hAnsi="Wingdings" w:hint="default"/>
      </w:rPr>
    </w:lvl>
  </w:abstractNum>
  <w:num w:numId="1" w16cid:durableId="2060589856">
    <w:abstractNumId w:val="1"/>
  </w:num>
  <w:num w:numId="2" w16cid:durableId="58210780">
    <w:abstractNumId w:val="9"/>
  </w:num>
  <w:num w:numId="3" w16cid:durableId="1054933763">
    <w:abstractNumId w:val="7"/>
  </w:num>
  <w:num w:numId="4" w16cid:durableId="980235950">
    <w:abstractNumId w:val="0"/>
  </w:num>
  <w:num w:numId="5" w16cid:durableId="1984654999">
    <w:abstractNumId w:val="10"/>
  </w:num>
  <w:num w:numId="6" w16cid:durableId="973103786">
    <w:abstractNumId w:val="4"/>
  </w:num>
  <w:num w:numId="7" w16cid:durableId="880240683">
    <w:abstractNumId w:val="3"/>
  </w:num>
  <w:num w:numId="8" w16cid:durableId="280036766">
    <w:abstractNumId w:val="2"/>
  </w:num>
  <w:num w:numId="9" w16cid:durableId="1260992262">
    <w:abstractNumId w:val="12"/>
  </w:num>
  <w:num w:numId="10" w16cid:durableId="1500383977">
    <w:abstractNumId w:val="8"/>
  </w:num>
  <w:num w:numId="11" w16cid:durableId="855076446">
    <w:abstractNumId w:val="11"/>
  </w:num>
  <w:num w:numId="12" w16cid:durableId="1105807325">
    <w:abstractNumId w:val="6"/>
  </w:num>
  <w:num w:numId="13" w16cid:durableId="11254640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789"/>
    <w:rsid w:val="00013635"/>
    <w:rsid w:val="00042894"/>
    <w:rsid w:val="0005073D"/>
    <w:rsid w:val="000564A6"/>
    <w:rsid w:val="00080180"/>
    <w:rsid w:val="000A6F80"/>
    <w:rsid w:val="000B7386"/>
    <w:rsid w:val="000C0A00"/>
    <w:rsid w:val="000C1F49"/>
    <w:rsid w:val="000C335D"/>
    <w:rsid w:val="000C3ADC"/>
    <w:rsid w:val="000D0FE3"/>
    <w:rsid w:val="00104FD6"/>
    <w:rsid w:val="00123133"/>
    <w:rsid w:val="0012720A"/>
    <w:rsid w:val="001300D6"/>
    <w:rsid w:val="00145077"/>
    <w:rsid w:val="00163E10"/>
    <w:rsid w:val="0016672B"/>
    <w:rsid w:val="00176A84"/>
    <w:rsid w:val="001830EA"/>
    <w:rsid w:val="001834EC"/>
    <w:rsid w:val="001837B9"/>
    <w:rsid w:val="00185AA4"/>
    <w:rsid w:val="00186038"/>
    <w:rsid w:val="001D143F"/>
    <w:rsid w:val="002077F6"/>
    <w:rsid w:val="002123C6"/>
    <w:rsid w:val="002363B2"/>
    <w:rsid w:val="00244E6C"/>
    <w:rsid w:val="00246FF1"/>
    <w:rsid w:val="00262B46"/>
    <w:rsid w:val="0026329E"/>
    <w:rsid w:val="002734DC"/>
    <w:rsid w:val="002853E5"/>
    <w:rsid w:val="002933B6"/>
    <w:rsid w:val="00294846"/>
    <w:rsid w:val="00295864"/>
    <w:rsid w:val="002A1496"/>
    <w:rsid w:val="002A66F9"/>
    <w:rsid w:val="002B4BB9"/>
    <w:rsid w:val="002B5095"/>
    <w:rsid w:val="002E1996"/>
    <w:rsid w:val="002F24B9"/>
    <w:rsid w:val="00317DB8"/>
    <w:rsid w:val="00330B06"/>
    <w:rsid w:val="0035267A"/>
    <w:rsid w:val="0036126D"/>
    <w:rsid w:val="00361ABE"/>
    <w:rsid w:val="00370E94"/>
    <w:rsid w:val="00392D0F"/>
    <w:rsid w:val="003D7291"/>
    <w:rsid w:val="003F1098"/>
    <w:rsid w:val="003F67F1"/>
    <w:rsid w:val="0040194D"/>
    <w:rsid w:val="004421F5"/>
    <w:rsid w:val="004509CF"/>
    <w:rsid w:val="004669EE"/>
    <w:rsid w:val="00476F37"/>
    <w:rsid w:val="00497A22"/>
    <w:rsid w:val="004A2789"/>
    <w:rsid w:val="004B0A40"/>
    <w:rsid w:val="004C2689"/>
    <w:rsid w:val="004C75EA"/>
    <w:rsid w:val="004D0B75"/>
    <w:rsid w:val="004E363F"/>
    <w:rsid w:val="004F4BF5"/>
    <w:rsid w:val="005040E8"/>
    <w:rsid w:val="00507AC9"/>
    <w:rsid w:val="005168A8"/>
    <w:rsid w:val="00530F5D"/>
    <w:rsid w:val="005413AE"/>
    <w:rsid w:val="005560ED"/>
    <w:rsid w:val="005579A6"/>
    <w:rsid w:val="00566AA5"/>
    <w:rsid w:val="005817EA"/>
    <w:rsid w:val="00582341"/>
    <w:rsid w:val="0058725A"/>
    <w:rsid w:val="00593DB3"/>
    <w:rsid w:val="005A55B6"/>
    <w:rsid w:val="005D713B"/>
    <w:rsid w:val="00606DB1"/>
    <w:rsid w:val="00611653"/>
    <w:rsid w:val="00641782"/>
    <w:rsid w:val="006522CA"/>
    <w:rsid w:val="00657373"/>
    <w:rsid w:val="006828D1"/>
    <w:rsid w:val="006868F3"/>
    <w:rsid w:val="006B1F56"/>
    <w:rsid w:val="006C089F"/>
    <w:rsid w:val="006C5657"/>
    <w:rsid w:val="006C73AA"/>
    <w:rsid w:val="006F142A"/>
    <w:rsid w:val="006F580A"/>
    <w:rsid w:val="0070011B"/>
    <w:rsid w:val="00710625"/>
    <w:rsid w:val="007134B6"/>
    <w:rsid w:val="00734168"/>
    <w:rsid w:val="0074008D"/>
    <w:rsid w:val="00757274"/>
    <w:rsid w:val="00772C36"/>
    <w:rsid w:val="00791927"/>
    <w:rsid w:val="007E7D5F"/>
    <w:rsid w:val="00844580"/>
    <w:rsid w:val="0086748C"/>
    <w:rsid w:val="0087622E"/>
    <w:rsid w:val="008834C2"/>
    <w:rsid w:val="00883FE5"/>
    <w:rsid w:val="00891D52"/>
    <w:rsid w:val="00893F54"/>
    <w:rsid w:val="008B628B"/>
    <w:rsid w:val="008E418B"/>
    <w:rsid w:val="008E4BD8"/>
    <w:rsid w:val="008F1666"/>
    <w:rsid w:val="008F6270"/>
    <w:rsid w:val="00910112"/>
    <w:rsid w:val="009347E9"/>
    <w:rsid w:val="00954DBD"/>
    <w:rsid w:val="00980B89"/>
    <w:rsid w:val="00986336"/>
    <w:rsid w:val="00991326"/>
    <w:rsid w:val="009D12C8"/>
    <w:rsid w:val="009D2855"/>
    <w:rsid w:val="009E0F5A"/>
    <w:rsid w:val="009E698F"/>
    <w:rsid w:val="009F4934"/>
    <w:rsid w:val="00A16205"/>
    <w:rsid w:val="00A713FE"/>
    <w:rsid w:val="00A7291C"/>
    <w:rsid w:val="00A86D20"/>
    <w:rsid w:val="00AB0730"/>
    <w:rsid w:val="00AD5E57"/>
    <w:rsid w:val="00AE3783"/>
    <w:rsid w:val="00AF08FB"/>
    <w:rsid w:val="00AF48D4"/>
    <w:rsid w:val="00B21922"/>
    <w:rsid w:val="00B6157C"/>
    <w:rsid w:val="00B77387"/>
    <w:rsid w:val="00B87861"/>
    <w:rsid w:val="00BA3743"/>
    <w:rsid w:val="00BA4EE5"/>
    <w:rsid w:val="00BA79FD"/>
    <w:rsid w:val="00BC4613"/>
    <w:rsid w:val="00BD7169"/>
    <w:rsid w:val="00BF3105"/>
    <w:rsid w:val="00C07678"/>
    <w:rsid w:val="00C41C12"/>
    <w:rsid w:val="00C61E84"/>
    <w:rsid w:val="00C64A02"/>
    <w:rsid w:val="00C670BB"/>
    <w:rsid w:val="00C71F1D"/>
    <w:rsid w:val="00C72AA4"/>
    <w:rsid w:val="00C909AD"/>
    <w:rsid w:val="00C91589"/>
    <w:rsid w:val="00C9662D"/>
    <w:rsid w:val="00CB1811"/>
    <w:rsid w:val="00CB59A3"/>
    <w:rsid w:val="00CC5623"/>
    <w:rsid w:val="00CD4E09"/>
    <w:rsid w:val="00CD7CF0"/>
    <w:rsid w:val="00D01692"/>
    <w:rsid w:val="00D02B47"/>
    <w:rsid w:val="00D02F85"/>
    <w:rsid w:val="00D03CE6"/>
    <w:rsid w:val="00D04171"/>
    <w:rsid w:val="00D3241B"/>
    <w:rsid w:val="00D413BB"/>
    <w:rsid w:val="00D42CEC"/>
    <w:rsid w:val="00D45DE6"/>
    <w:rsid w:val="00D722F5"/>
    <w:rsid w:val="00D77D7B"/>
    <w:rsid w:val="00D95734"/>
    <w:rsid w:val="00DA5B5A"/>
    <w:rsid w:val="00DA5FE9"/>
    <w:rsid w:val="00DC098C"/>
    <w:rsid w:val="00DD2E0D"/>
    <w:rsid w:val="00DE3190"/>
    <w:rsid w:val="00E001E6"/>
    <w:rsid w:val="00E077A0"/>
    <w:rsid w:val="00E13A54"/>
    <w:rsid w:val="00E27D04"/>
    <w:rsid w:val="00E3293F"/>
    <w:rsid w:val="00E369FB"/>
    <w:rsid w:val="00E55B1C"/>
    <w:rsid w:val="00E67876"/>
    <w:rsid w:val="00E74965"/>
    <w:rsid w:val="00E74991"/>
    <w:rsid w:val="00E77832"/>
    <w:rsid w:val="00E90A9B"/>
    <w:rsid w:val="00EA19D5"/>
    <w:rsid w:val="00EA3A6E"/>
    <w:rsid w:val="00EB6A5B"/>
    <w:rsid w:val="00ED3E49"/>
    <w:rsid w:val="00EE0852"/>
    <w:rsid w:val="00EE130A"/>
    <w:rsid w:val="00EF258D"/>
    <w:rsid w:val="00F16639"/>
    <w:rsid w:val="00F24B83"/>
    <w:rsid w:val="00F26161"/>
    <w:rsid w:val="00F3229E"/>
    <w:rsid w:val="00F6163B"/>
    <w:rsid w:val="00F702AA"/>
    <w:rsid w:val="00F94349"/>
    <w:rsid w:val="00FA14F5"/>
    <w:rsid w:val="00FB3A30"/>
    <w:rsid w:val="00FC7C50"/>
    <w:rsid w:val="00FD63FB"/>
    <w:rsid w:val="00FE4686"/>
    <w:rsid w:val="00FE55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42585"/>
  <w15:docId w15:val="{55EB2C00-55EB-40FF-8FDF-7EA597462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373"/>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205"/>
    <w:pPr>
      <w:tabs>
        <w:tab w:val="center" w:pos="4153"/>
        <w:tab w:val="right" w:pos="8306"/>
      </w:tabs>
      <w:spacing w:after="0" w:line="240" w:lineRule="auto"/>
    </w:pPr>
  </w:style>
  <w:style w:type="character" w:customStyle="1" w:styleId="HeaderChar">
    <w:name w:val="Header Char"/>
    <w:basedOn w:val="DefaultParagraphFont"/>
    <w:link w:val="Header"/>
    <w:uiPriority w:val="99"/>
    <w:rsid w:val="00A16205"/>
  </w:style>
  <w:style w:type="paragraph" w:styleId="Footer">
    <w:name w:val="footer"/>
    <w:basedOn w:val="Normal"/>
    <w:link w:val="FooterChar"/>
    <w:uiPriority w:val="99"/>
    <w:unhideWhenUsed/>
    <w:rsid w:val="00A16205"/>
    <w:pPr>
      <w:tabs>
        <w:tab w:val="center" w:pos="4153"/>
        <w:tab w:val="right" w:pos="8306"/>
      </w:tabs>
      <w:spacing w:after="0" w:line="240" w:lineRule="auto"/>
    </w:pPr>
  </w:style>
  <w:style w:type="character" w:customStyle="1" w:styleId="FooterChar">
    <w:name w:val="Footer Char"/>
    <w:basedOn w:val="DefaultParagraphFont"/>
    <w:link w:val="Footer"/>
    <w:uiPriority w:val="99"/>
    <w:rsid w:val="00A16205"/>
  </w:style>
  <w:style w:type="table" w:styleId="TableGrid">
    <w:name w:val="Table Grid"/>
    <w:basedOn w:val="TableNormal"/>
    <w:uiPriority w:val="39"/>
    <w:rsid w:val="00516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2E0D"/>
    <w:rPr>
      <w:sz w:val="16"/>
      <w:szCs w:val="16"/>
    </w:rPr>
  </w:style>
  <w:style w:type="paragraph" w:styleId="CommentText">
    <w:name w:val="annotation text"/>
    <w:basedOn w:val="Normal"/>
    <w:link w:val="CommentTextChar"/>
    <w:uiPriority w:val="99"/>
    <w:semiHidden/>
    <w:unhideWhenUsed/>
    <w:rsid w:val="00DD2E0D"/>
    <w:pPr>
      <w:spacing w:line="240" w:lineRule="auto"/>
    </w:pPr>
    <w:rPr>
      <w:sz w:val="20"/>
      <w:szCs w:val="20"/>
    </w:rPr>
  </w:style>
  <w:style w:type="character" w:customStyle="1" w:styleId="CommentTextChar">
    <w:name w:val="Comment Text Char"/>
    <w:basedOn w:val="DefaultParagraphFont"/>
    <w:link w:val="CommentText"/>
    <w:uiPriority w:val="99"/>
    <w:semiHidden/>
    <w:rsid w:val="00DD2E0D"/>
    <w:rPr>
      <w:sz w:val="20"/>
      <w:szCs w:val="20"/>
    </w:rPr>
  </w:style>
  <w:style w:type="paragraph" w:styleId="BalloonText">
    <w:name w:val="Balloon Text"/>
    <w:basedOn w:val="Normal"/>
    <w:link w:val="BalloonTextChar"/>
    <w:uiPriority w:val="99"/>
    <w:semiHidden/>
    <w:unhideWhenUsed/>
    <w:rsid w:val="00DD2E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E0D"/>
    <w:rPr>
      <w:rFonts w:ascii="Tahoma" w:hAnsi="Tahoma" w:cs="Tahoma"/>
      <w:sz w:val="16"/>
      <w:szCs w:val="16"/>
    </w:rPr>
  </w:style>
  <w:style w:type="paragraph" w:styleId="ListParagraph">
    <w:name w:val="List Paragraph"/>
    <w:basedOn w:val="Normal"/>
    <w:uiPriority w:val="34"/>
    <w:qFormat/>
    <w:rsid w:val="004C75EA"/>
    <w:pPr>
      <w:ind w:left="720"/>
      <w:contextualSpacing/>
    </w:pPr>
  </w:style>
  <w:style w:type="character" w:styleId="Hyperlink">
    <w:name w:val="Hyperlink"/>
    <w:basedOn w:val="DefaultParagraphFont"/>
    <w:uiPriority w:val="99"/>
    <w:unhideWhenUsed/>
    <w:rsid w:val="00244E6C"/>
    <w:rPr>
      <w:color w:val="0563C1" w:themeColor="hyperlink"/>
      <w:u w:val="single"/>
    </w:rPr>
  </w:style>
  <w:style w:type="character" w:customStyle="1" w:styleId="UnresolvedMention1">
    <w:name w:val="Unresolved Mention1"/>
    <w:basedOn w:val="DefaultParagraphFont"/>
    <w:uiPriority w:val="99"/>
    <w:rsid w:val="00244E6C"/>
    <w:rPr>
      <w:color w:val="808080"/>
      <w:shd w:val="clear" w:color="auto" w:fill="E6E6E6"/>
    </w:rPr>
  </w:style>
  <w:style w:type="character" w:styleId="FollowedHyperlink">
    <w:name w:val="FollowedHyperlink"/>
    <w:basedOn w:val="DefaultParagraphFont"/>
    <w:uiPriority w:val="99"/>
    <w:semiHidden/>
    <w:unhideWhenUsed/>
    <w:rsid w:val="00A86D20"/>
    <w:rPr>
      <w:color w:val="954F72" w:themeColor="followedHyperlink"/>
      <w:u w:val="single"/>
    </w:rPr>
  </w:style>
  <w:style w:type="paragraph" w:styleId="NormalWeb">
    <w:name w:val="Normal (Web)"/>
    <w:basedOn w:val="Normal"/>
    <w:uiPriority w:val="99"/>
    <w:semiHidden/>
    <w:unhideWhenUsed/>
    <w:rsid w:val="002123C6"/>
    <w:pPr>
      <w:spacing w:before="100" w:beforeAutospacing="1" w:after="100" w:afterAutospacing="1" w:line="240" w:lineRule="auto"/>
    </w:pPr>
    <w:rPr>
      <w:rFonts w:eastAsia="Times New Roman" w:cs="Times New Roman"/>
      <w:sz w:val="24"/>
      <w:szCs w:val="24"/>
      <w:lang w:eastAsia="lv-LV"/>
    </w:rPr>
  </w:style>
  <w:style w:type="paragraph" w:styleId="BodyText">
    <w:name w:val="Body Text"/>
    <w:basedOn w:val="Normal"/>
    <w:link w:val="BodyTextChar"/>
    <w:rsid w:val="00530F5D"/>
    <w:pPr>
      <w:widowControl w:val="0"/>
      <w:shd w:val="clear" w:color="auto" w:fill="FFFFFF"/>
      <w:autoSpaceDE w:val="0"/>
      <w:autoSpaceDN w:val="0"/>
      <w:adjustRightInd w:val="0"/>
      <w:spacing w:before="65" w:after="0" w:line="266" w:lineRule="exact"/>
      <w:jc w:val="both"/>
    </w:pPr>
    <w:rPr>
      <w:rFonts w:eastAsia="Times New Roman" w:cs="Times New Roman"/>
      <w:sz w:val="24"/>
      <w:szCs w:val="24"/>
      <w:lang w:val="x-none"/>
    </w:rPr>
  </w:style>
  <w:style w:type="character" w:customStyle="1" w:styleId="BodyTextChar">
    <w:name w:val="Body Text Char"/>
    <w:basedOn w:val="DefaultParagraphFont"/>
    <w:link w:val="BodyText"/>
    <w:rsid w:val="00530F5D"/>
    <w:rPr>
      <w:rFonts w:ascii="Times New Roman" w:eastAsia="Times New Roman" w:hAnsi="Times New Roman" w:cs="Times New Roman"/>
      <w:sz w:val="24"/>
      <w:szCs w:val="24"/>
      <w:shd w:val="clear" w:color="auto" w:fill="FFFFFF"/>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EB45849EF0276F42A6CE70F2ACFEAEBB" ma:contentTypeVersion="0" ma:contentTypeDescription="Izveidot jaunu dokumentu." ma:contentTypeScope="" ma:versionID="1a72dbca0b086828b1abafeacfa4b341">
  <xsd:schema xmlns:xsd="http://www.w3.org/2001/XMLSchema" xmlns:xs="http://www.w3.org/2001/XMLSchema" xmlns:p="http://schemas.microsoft.com/office/2006/metadata/properties" targetNamespace="http://schemas.microsoft.com/office/2006/metadata/properties" ma:root="true" ma:fieldsID="ef6bef76b1948cc14eb045bdecfa38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801163-169A-4BC2-A0C0-0CA3D3800153}">
  <ds:schemaRefs>
    <ds:schemaRef ds:uri="http://schemas.openxmlformats.org/officeDocument/2006/bibliography"/>
  </ds:schemaRefs>
</ds:datastoreItem>
</file>

<file path=customXml/itemProps2.xml><?xml version="1.0" encoding="utf-8"?>
<ds:datastoreItem xmlns:ds="http://schemas.openxmlformats.org/officeDocument/2006/customXml" ds:itemID="{E93722DE-2FBE-47F1-AA63-F2A81A9D996A}">
  <ds:schemaRefs>
    <ds:schemaRef ds:uri="http://schemas.microsoft.com/sharepoint/v3/contenttype/forms"/>
  </ds:schemaRefs>
</ds:datastoreItem>
</file>

<file path=customXml/itemProps3.xml><?xml version="1.0" encoding="utf-8"?>
<ds:datastoreItem xmlns:ds="http://schemas.openxmlformats.org/officeDocument/2006/customXml" ds:itemID="{25D50FCA-AA60-4DE9-BB8D-BF047751F9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55E49B-D773-4861-9AEA-34BAB18E9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3513</Words>
  <Characters>2003</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AST</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Māra Grava</dc:creator>
  <cp:lastModifiedBy>Andris Sproģis</cp:lastModifiedBy>
  <cp:revision>2</cp:revision>
  <dcterms:created xsi:type="dcterms:W3CDTF">2023-12-04T07:27:00Z</dcterms:created>
  <dcterms:modified xsi:type="dcterms:W3CDTF">2023-12-04T07:27:00Z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0x010100EB45849EF0276F42A6CE70F2ACFEAEBB</vt:lpwstr>
  </property>
  <property fmtid="{D5CDD505-2E9C-101B-9397-08002B2CF9AE}" pid="3" name="MSIP_Label_66cffd26-8a8e-4271-ae8c-0448cc98c6fa_ActionId">
    <vt:lpwstr>7ec9d602-03a5-44fc-9954-1d0397a5716e</vt:lpwstr>
  </property>
  <property fmtid="{D5CDD505-2E9C-101B-9397-08002B2CF9AE}" pid="4" name="MSIP_Label_66cffd26-8a8e-4271-ae8c-0448cc98c6fa_ContentBits">
    <vt:lpwstr>0</vt:lpwstr>
  </property>
  <property fmtid="{D5CDD505-2E9C-101B-9397-08002B2CF9AE}" pid="5" name="MSIP_Label_66cffd26-8a8e-4271-ae8c-0448cc98c6fa_Enabled">
    <vt:lpwstr>true</vt:lpwstr>
  </property>
  <property fmtid="{D5CDD505-2E9C-101B-9397-08002B2CF9AE}" pid="6" name="MSIP_Label_66cffd26-8a8e-4271-ae8c-0448cc98c6fa_Method">
    <vt:lpwstr>Standard</vt:lpwstr>
  </property>
  <property fmtid="{D5CDD505-2E9C-101B-9397-08002B2CF9AE}" pid="7" name="MSIP_Label_66cffd26-8a8e-4271-ae8c-0448cc98c6fa_Name">
    <vt:lpwstr>AST dokumenti</vt:lpwstr>
  </property>
  <property fmtid="{D5CDD505-2E9C-101B-9397-08002B2CF9AE}" pid="8" name="MSIP_Label_66cffd26-8a8e-4271-ae8c-0448cc98c6fa_SetDate">
    <vt:lpwstr>2022-02-22T09:12:18Z</vt:lpwstr>
  </property>
  <property fmtid="{D5CDD505-2E9C-101B-9397-08002B2CF9AE}" pid="9" name="MSIP_Label_66cffd26-8a8e-4271-ae8c-0448cc98c6fa_SiteId">
    <vt:lpwstr>c4c0dd7c-1dfb-4088-9303-96b608da35b3</vt:lpwstr>
  </property>
</Properties>
</file>