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3600A4" w14:textId="1D7E7CA8" w:rsidR="004D37F9" w:rsidRDefault="000C2DE0">
      <w:pPr>
        <w:jc w:val="center"/>
        <w:rPr>
          <w:b/>
          <w:bCs/>
        </w:rPr>
      </w:pPr>
      <w:r>
        <w:rPr>
          <w:b/>
          <w:bCs/>
        </w:rPr>
        <w:t xml:space="preserve">VIENOŠANĀS </w:t>
      </w:r>
    </w:p>
    <w:p w14:paraId="62C3749C" w14:textId="254B5324" w:rsidR="004D37F9" w:rsidRDefault="000C2DE0">
      <w:pPr>
        <w:jc w:val="center"/>
      </w:pPr>
      <w:r>
        <w:rPr>
          <w:rStyle w:val="PageNumber"/>
        </w:rPr>
        <w:t xml:space="preserve">par </w:t>
      </w:r>
      <w:r w:rsidR="00126C2F">
        <w:rPr>
          <w:rStyle w:val="PageNumber"/>
        </w:rPr>
        <w:t xml:space="preserve">LIETOTĀJA </w:t>
      </w:r>
      <w:r>
        <w:rPr>
          <w:rStyle w:val="PageNumber"/>
        </w:rPr>
        <w:t xml:space="preserve">jauna elektroenerģijas pārvades sistēmas pieslēguma ierīkošanu </w:t>
      </w:r>
    </w:p>
    <w:p w14:paraId="7F5D6733" w14:textId="77777777" w:rsidR="004D37F9" w:rsidRDefault="004D37F9">
      <w:pPr>
        <w:jc w:val="center"/>
      </w:pPr>
    </w:p>
    <w:p w14:paraId="3D4D0A43" w14:textId="77777777" w:rsidR="004D37F9" w:rsidRDefault="000C2DE0">
      <w:pPr>
        <w:jc w:val="both"/>
        <w:rPr>
          <w:rStyle w:val="PageNumber"/>
        </w:rPr>
      </w:pPr>
      <w:r>
        <w:rPr>
          <w:rStyle w:val="PageNumber"/>
        </w:rPr>
        <w:t>Rīgā,</w:t>
      </w:r>
      <w:r>
        <w:rPr>
          <w:rStyle w:val="PageNumber"/>
        </w:rPr>
        <w:tab/>
      </w:r>
      <w:r>
        <w:rPr>
          <w:rStyle w:val="PageNumber"/>
        </w:rPr>
        <w:tab/>
      </w:r>
      <w:r>
        <w:rPr>
          <w:rStyle w:val="PageNumber"/>
        </w:rPr>
        <w:tab/>
      </w:r>
      <w:r>
        <w:rPr>
          <w:rStyle w:val="PageNumber"/>
        </w:rPr>
        <w:tab/>
      </w:r>
      <w:r>
        <w:rPr>
          <w:rStyle w:val="PageNumber"/>
        </w:rPr>
        <w:tab/>
      </w:r>
      <w:r>
        <w:rPr>
          <w:rStyle w:val="PageNumber"/>
        </w:rPr>
        <w:tab/>
        <w:t xml:space="preserve">  </w:t>
      </w:r>
      <w:r>
        <w:rPr>
          <w:rStyle w:val="PageNumber"/>
        </w:rPr>
        <w:tab/>
      </w:r>
      <w:r>
        <w:rPr>
          <w:i/>
          <w:iCs/>
        </w:rPr>
        <w:t>Vienošanās datums skatāms laika zīmogā</w:t>
      </w:r>
    </w:p>
    <w:p w14:paraId="4F8F7432" w14:textId="77777777" w:rsidR="004D37F9" w:rsidRDefault="004D37F9">
      <w:pPr>
        <w:pStyle w:val="BodyTextIndent2"/>
        <w:ind w:left="0" w:firstLine="1"/>
      </w:pPr>
    </w:p>
    <w:p w14:paraId="4D69836C" w14:textId="72D5D9B8" w:rsidR="004D37F9" w:rsidRDefault="000C2DE0">
      <w:pPr>
        <w:pStyle w:val="BodyTextIndent2"/>
        <w:ind w:left="0" w:firstLine="1"/>
        <w:rPr>
          <w:shd w:val="clear" w:color="auto" w:fill="FFFF00"/>
        </w:rPr>
      </w:pPr>
      <w:r>
        <w:rPr>
          <w:b/>
          <w:bCs/>
        </w:rPr>
        <w:t>Akciju sabiedrība "Augstsprieguma tīkls"</w:t>
      </w:r>
      <w:r>
        <w:rPr>
          <w:rStyle w:val="PageNumber"/>
        </w:rPr>
        <w:t xml:space="preserve">, vienotais reģistrācijas Nr. 40003575567, turpmāk – </w:t>
      </w:r>
      <w:r>
        <w:rPr>
          <w:b/>
          <w:bCs/>
        </w:rPr>
        <w:t>PSO</w:t>
      </w:r>
      <w:r>
        <w:rPr>
          <w:rStyle w:val="PageNumber"/>
        </w:rPr>
        <w:t xml:space="preserve">, kuru, pamatojoties uz statūtiem un </w:t>
      </w:r>
      <w:r w:rsidR="00126C2F" w:rsidRPr="00CE4862">
        <w:t>202</w:t>
      </w:r>
      <w:r w:rsidR="00126C2F">
        <w:t>6</w:t>
      </w:r>
      <w:r w:rsidR="00126C2F" w:rsidRPr="00CE4862">
        <w:t xml:space="preserve">.gada </w:t>
      </w:r>
      <w:r w:rsidR="00126C2F">
        <w:t xml:space="preserve">1.janvāra pilnvaru </w:t>
      </w:r>
      <w:r w:rsidR="00126C2F" w:rsidRPr="00B70265">
        <w:t>Nr.2.6/2025/42</w:t>
      </w:r>
      <w:r w:rsidR="00126C2F" w:rsidRPr="00CE4862">
        <w:t xml:space="preserve"> pārstāv</w:t>
      </w:r>
      <w:r w:rsidR="00126C2F" w:rsidRPr="00D60CCE">
        <w:t xml:space="preserve"> </w:t>
      </w:r>
      <w:r w:rsidR="00126C2F">
        <w:t>valdes priekšsēdētājs un</w:t>
      </w:r>
      <w:r w:rsidR="00126C2F" w:rsidRPr="00D60CCE">
        <w:t xml:space="preserve"> valdes locek</w:t>
      </w:r>
      <w:r w:rsidR="00126C2F">
        <w:t>lis</w:t>
      </w:r>
      <w:r>
        <w:rPr>
          <w:rStyle w:val="PageNumber"/>
        </w:rPr>
        <w:t>, no vienas puses un</w:t>
      </w:r>
      <w:r w:rsidR="00126C2F">
        <w:rPr>
          <w:rStyle w:val="PageNumber"/>
        </w:rPr>
        <w:t xml:space="preserve"> </w:t>
      </w:r>
      <w:r>
        <w:rPr>
          <w:rStyle w:val="PageNumber"/>
        </w:rPr>
        <w:t xml:space="preserve"> </w:t>
      </w:r>
    </w:p>
    <w:p w14:paraId="63E3973B" w14:textId="77777777" w:rsidR="004D37F9" w:rsidRDefault="004D37F9">
      <w:pPr>
        <w:pStyle w:val="BodyTextIndent2"/>
        <w:ind w:left="0" w:firstLine="1"/>
      </w:pPr>
    </w:p>
    <w:p w14:paraId="2D2D99D6" w14:textId="5557CF32" w:rsidR="004D37F9" w:rsidRDefault="00126C2F">
      <w:pPr>
        <w:pStyle w:val="BodyTextIndent2"/>
        <w:ind w:left="0" w:firstLine="1"/>
      </w:pPr>
      <w:permStart w:id="805257157" w:edGrp="everyone"/>
      <w:r>
        <w:rPr>
          <w:b/>
          <w:bCs/>
        </w:rPr>
        <w:t>[</w:t>
      </w:r>
      <w:r w:rsidRPr="008D6520">
        <w:rPr>
          <w:b/>
          <w:bCs/>
          <w:highlight w:val="yellow"/>
        </w:rPr>
        <w:t>komersanta nosaukums</w:t>
      </w:r>
      <w:r>
        <w:rPr>
          <w:b/>
          <w:bCs/>
        </w:rPr>
        <w:t>]</w:t>
      </w:r>
      <w:permEnd w:id="805257157"/>
      <w:r>
        <w:rPr>
          <w:rStyle w:val="PageNumber"/>
        </w:rPr>
        <w:t xml:space="preserve">, vienotais reģistrācijas </w:t>
      </w:r>
      <w:permStart w:id="445847190" w:edGrp="everyone"/>
      <w:r>
        <w:rPr>
          <w:rStyle w:val="PageNumber"/>
        </w:rPr>
        <w:t>[</w:t>
      </w:r>
      <w:r w:rsidR="008D6520" w:rsidRPr="008D6520">
        <w:rPr>
          <w:rStyle w:val="PageNumber"/>
          <w:highlight w:val="yellow"/>
        </w:rPr>
        <w:t>komersanta</w:t>
      </w:r>
      <w:r w:rsidR="008D6520">
        <w:rPr>
          <w:rStyle w:val="PageNumber"/>
        </w:rPr>
        <w:t xml:space="preserve"> </w:t>
      </w:r>
      <w:r w:rsidRPr="008D6520">
        <w:rPr>
          <w:rStyle w:val="PageNumber"/>
          <w:highlight w:val="yellow"/>
        </w:rPr>
        <w:t>reģistrācijas numurs</w:t>
      </w:r>
      <w:r>
        <w:rPr>
          <w:rStyle w:val="PageNumber"/>
        </w:rPr>
        <w:t>]</w:t>
      </w:r>
      <w:permEnd w:id="445847190"/>
      <w:r>
        <w:rPr>
          <w:rStyle w:val="PageNumber"/>
        </w:rPr>
        <w:t xml:space="preserve">, turpmāk – </w:t>
      </w:r>
      <w:r>
        <w:rPr>
          <w:b/>
          <w:bCs/>
        </w:rPr>
        <w:t>LIETOTĀJS</w:t>
      </w:r>
      <w:r>
        <w:rPr>
          <w:rStyle w:val="PageNumber"/>
        </w:rPr>
        <w:t xml:space="preserve">, kuru pamatojoties uz statūtiem </w:t>
      </w:r>
      <w:permStart w:id="1198596813" w:edGrp="everyone"/>
      <w:r>
        <w:rPr>
          <w:rStyle w:val="PageNumber"/>
        </w:rPr>
        <w:t>[</w:t>
      </w:r>
      <w:r w:rsidRPr="008D6520">
        <w:rPr>
          <w:rStyle w:val="PageNumber"/>
          <w:highlight w:val="yellow"/>
        </w:rPr>
        <w:t>vai cits dokuments, ja attiecināms</w:t>
      </w:r>
      <w:r>
        <w:rPr>
          <w:rStyle w:val="PageNumber"/>
        </w:rPr>
        <w:t>]</w:t>
      </w:r>
      <w:permEnd w:id="1198596813"/>
      <w:r>
        <w:rPr>
          <w:rStyle w:val="PageNumber"/>
        </w:rPr>
        <w:t xml:space="preserve"> pārstāv </w:t>
      </w:r>
      <w:permStart w:id="692091676" w:edGrp="everyone"/>
      <w:r>
        <w:rPr>
          <w:rStyle w:val="PageNumber"/>
        </w:rPr>
        <w:t>[</w:t>
      </w:r>
      <w:r w:rsidRPr="008D6520">
        <w:rPr>
          <w:rStyle w:val="PageNumber"/>
          <w:highlight w:val="yellow"/>
        </w:rPr>
        <w:t>amats, Vārds, Uzvārds</w:t>
      </w:r>
      <w:r>
        <w:rPr>
          <w:rStyle w:val="PageNumber"/>
        </w:rPr>
        <w:t>]</w:t>
      </w:r>
      <w:permEnd w:id="692091676"/>
      <w:r>
        <w:rPr>
          <w:rStyle w:val="PageNumber"/>
        </w:rPr>
        <w:t xml:space="preserve">, no otras puses, katra atsevišķi saukta par Pusi, bet kopā - par Pusēm, </w:t>
      </w:r>
    </w:p>
    <w:p w14:paraId="497373B1" w14:textId="77777777" w:rsidR="004D37F9" w:rsidRDefault="004D37F9">
      <w:pPr>
        <w:pStyle w:val="BodyTextIndent2"/>
        <w:ind w:left="0" w:firstLine="1"/>
      </w:pPr>
    </w:p>
    <w:p w14:paraId="6D2A3C0B" w14:textId="77777777" w:rsidR="004D37F9" w:rsidRDefault="000C2DE0">
      <w:pPr>
        <w:pStyle w:val="BodyTextIndent2"/>
        <w:ind w:left="0" w:firstLine="1"/>
      </w:pPr>
      <w:r>
        <w:rPr>
          <w:rStyle w:val="PageNumber"/>
        </w:rPr>
        <w:t xml:space="preserve">ņemot vērā, ka: </w:t>
      </w:r>
    </w:p>
    <w:p w14:paraId="084E5DAC" w14:textId="226C52EA" w:rsidR="004D37F9" w:rsidRDefault="008D6520">
      <w:pPr>
        <w:numPr>
          <w:ilvl w:val="0"/>
          <w:numId w:val="2"/>
        </w:numPr>
        <w:spacing w:before="120"/>
        <w:jc w:val="both"/>
      </w:pPr>
      <w:r>
        <w:rPr>
          <w:rStyle w:val="PageNumber"/>
        </w:rPr>
        <w:t xml:space="preserve">LIETOTĀJS </w:t>
      </w:r>
      <w:permStart w:id="864701425" w:edGrp="everyone"/>
      <w:r>
        <w:rPr>
          <w:rStyle w:val="PageNumber"/>
        </w:rPr>
        <w:t>[</w:t>
      </w:r>
      <w:r w:rsidRPr="008D6520">
        <w:rPr>
          <w:rStyle w:val="PageNumber"/>
          <w:highlight w:val="yellow"/>
        </w:rPr>
        <w:t>datums</w:t>
      </w:r>
      <w:r>
        <w:rPr>
          <w:rStyle w:val="PageNumber"/>
        </w:rPr>
        <w:t xml:space="preserve">] </w:t>
      </w:r>
      <w:permEnd w:id="864701425"/>
      <w:r>
        <w:rPr>
          <w:rStyle w:val="PageNumber"/>
        </w:rPr>
        <w:t xml:space="preserve">iesniedza PSO pieteikumu jauna elektroenerģijas pārvades sistēmas pieslēguma ierīkošanai;  </w:t>
      </w:r>
    </w:p>
    <w:p w14:paraId="416C43B6" w14:textId="3E9B773E" w:rsidR="004D37F9" w:rsidRDefault="000C2DE0">
      <w:pPr>
        <w:pStyle w:val="BodyTextIndent2"/>
        <w:numPr>
          <w:ilvl w:val="0"/>
          <w:numId w:val="2"/>
        </w:numPr>
        <w:spacing w:before="120"/>
      </w:pPr>
      <w:r>
        <w:rPr>
          <w:rStyle w:val="PageNumber"/>
        </w:rPr>
        <w:t xml:space="preserve">PSO </w:t>
      </w:r>
      <w:permStart w:id="1824014889" w:edGrp="everyone"/>
      <w:r w:rsidR="008D6520">
        <w:rPr>
          <w:rStyle w:val="PageNumber"/>
        </w:rPr>
        <w:t>[</w:t>
      </w:r>
      <w:r w:rsidR="008D6520" w:rsidRPr="008D6520">
        <w:rPr>
          <w:rStyle w:val="PageNumber"/>
          <w:highlight w:val="yellow"/>
        </w:rPr>
        <w:t>datums</w:t>
      </w:r>
      <w:r w:rsidR="008D6520">
        <w:rPr>
          <w:rStyle w:val="PageNumber"/>
        </w:rPr>
        <w:t>]</w:t>
      </w:r>
      <w:permEnd w:id="1824014889"/>
      <w:r>
        <w:rPr>
          <w:rStyle w:val="PageNumber"/>
        </w:rPr>
        <w:t xml:space="preserve"> izdeva </w:t>
      </w:r>
      <w:r w:rsidR="008D6520">
        <w:rPr>
          <w:rStyle w:val="PageNumber"/>
        </w:rPr>
        <w:t>LIETOTĀJAM</w:t>
      </w:r>
      <w:r>
        <w:rPr>
          <w:rStyle w:val="PageNumber"/>
        </w:rPr>
        <w:t xml:space="preserve"> tehniskās prasības </w:t>
      </w:r>
      <w:permStart w:id="240483172" w:edGrp="everyone"/>
      <w:r w:rsidR="008D6520">
        <w:rPr>
          <w:rStyle w:val="PageNumber"/>
        </w:rPr>
        <w:t>[</w:t>
      </w:r>
      <w:r w:rsidR="008D6520" w:rsidRPr="008D6520">
        <w:rPr>
          <w:highlight w:val="yellow"/>
        </w:rPr>
        <w:t>Tehnisko prasību identifikācijas numurs, datums</w:t>
      </w:r>
      <w:r w:rsidR="008D6520">
        <w:t>]</w:t>
      </w:r>
      <w:permEnd w:id="240483172"/>
      <w:r>
        <w:rPr>
          <w:rStyle w:val="PageNumber"/>
        </w:rPr>
        <w:t xml:space="preserve">, jauna elektroenerģijas pārvades sistēmas pieslēguma ierīkošanai un </w:t>
      </w:r>
      <w:permStart w:id="1847339913" w:edGrp="everyone"/>
      <w:r w:rsidR="008D6520">
        <w:rPr>
          <w:rStyle w:val="PageNumber"/>
        </w:rPr>
        <w:t>[</w:t>
      </w:r>
      <w:r w:rsidR="008D6520" w:rsidRPr="008D6520">
        <w:rPr>
          <w:highlight w:val="yellow"/>
        </w:rPr>
        <w:t xml:space="preserve">informācija par </w:t>
      </w:r>
      <w:r w:rsidR="00E82491">
        <w:rPr>
          <w:highlight w:val="yellow"/>
        </w:rPr>
        <w:t>lietotāja iekārtām</w:t>
      </w:r>
      <w:r w:rsidR="008D6520" w:rsidRPr="008D6520">
        <w:rPr>
          <w:highlight w:val="yellow"/>
        </w:rPr>
        <w:t xml:space="preserve"> (veids un jauda)</w:t>
      </w:r>
      <w:r w:rsidR="008D6520">
        <w:t>]</w:t>
      </w:r>
      <w:r>
        <w:rPr>
          <w:rStyle w:val="PageNumber"/>
        </w:rPr>
        <w:t xml:space="preserve"> </w:t>
      </w:r>
      <w:permEnd w:id="1847339913"/>
      <w:r>
        <w:rPr>
          <w:rStyle w:val="PageNumber"/>
        </w:rPr>
        <w:t xml:space="preserve">pieslēgšanai pie pārvades sistēmas (turpmāk – Tehniskās prasības);  </w:t>
      </w:r>
    </w:p>
    <w:p w14:paraId="716E67BE" w14:textId="71850CD5" w:rsidR="004D37F9" w:rsidRDefault="000C2DE0">
      <w:pPr>
        <w:pStyle w:val="BodyTextIndent2"/>
        <w:spacing w:before="120"/>
        <w:ind w:left="0" w:firstLine="0"/>
      </w:pPr>
      <w:r>
        <w:rPr>
          <w:rStyle w:val="PageNumber"/>
        </w:rPr>
        <w:t xml:space="preserve">vienojas noslēgt vienošanos par </w:t>
      </w:r>
      <w:r w:rsidR="008D6520">
        <w:rPr>
          <w:rStyle w:val="PageNumber"/>
        </w:rPr>
        <w:t>LIETOTĀJA</w:t>
      </w:r>
      <w:r>
        <w:rPr>
          <w:rStyle w:val="PageNumber"/>
        </w:rPr>
        <w:t xml:space="preserve"> jauna elektroenerģijas pārvades sistēmas pieslēguma ierīkošanu (turpmāk – Vienošanās):      </w:t>
      </w:r>
    </w:p>
    <w:p w14:paraId="338EE0EE" w14:textId="77777777" w:rsidR="004D37F9" w:rsidRDefault="000C2DE0">
      <w:pPr>
        <w:pStyle w:val="BodyTextIndent"/>
        <w:numPr>
          <w:ilvl w:val="0"/>
          <w:numId w:val="4"/>
        </w:numPr>
        <w:spacing w:before="240" w:after="240"/>
        <w:rPr>
          <w:b/>
          <w:bCs/>
        </w:rPr>
      </w:pPr>
      <w:r>
        <w:rPr>
          <w:b/>
          <w:bCs/>
        </w:rPr>
        <w:t>Vispārīgie noteikumi.</w:t>
      </w:r>
    </w:p>
    <w:p w14:paraId="0B57DC83" w14:textId="7B771BAD" w:rsidR="004D37F9" w:rsidRDefault="000C2DE0" w:rsidP="00EC20A5">
      <w:pPr>
        <w:pStyle w:val="BodyTextIndent"/>
        <w:numPr>
          <w:ilvl w:val="1"/>
          <w:numId w:val="4"/>
        </w:numPr>
        <w:spacing w:after="120"/>
      </w:pPr>
      <w:r>
        <w:t xml:space="preserve">Puses slēdz Vienošanos, ņemot vērā Sabiedrisko pakalpojumu regulēšanas komisijas 2013.gada 26.jūnija lēmumu Nr.1/4 "Tīkla kodekss elektroenerģijas nozarē" un Sabiedrisko pakalpojumu regulēšanas komisijas </w:t>
      </w:r>
      <w:r w:rsidR="00EF01FF" w:rsidRPr="00E273DF">
        <w:t>20</w:t>
      </w:r>
      <w:r w:rsidR="00EF01FF">
        <w:t>21</w:t>
      </w:r>
      <w:r w:rsidR="00EF01FF" w:rsidRPr="00E273DF">
        <w:t xml:space="preserve">.gada </w:t>
      </w:r>
      <w:r w:rsidR="00EF01FF">
        <w:t>30.septembra</w:t>
      </w:r>
      <w:r w:rsidR="00EF01FF" w:rsidRPr="00E273DF">
        <w:t xml:space="preserve"> lēmumu Nr.1/</w:t>
      </w:r>
      <w:r w:rsidR="00EF01FF">
        <w:t>10</w:t>
      </w:r>
      <w:r w:rsidR="00EF01FF" w:rsidRPr="00E273DF">
        <w:t xml:space="preserve"> "Sistēmas pieslēguma noteikumi elektroenerģijas </w:t>
      </w:r>
      <w:r w:rsidR="00EF01FF">
        <w:t>pārvades sistēmai</w:t>
      </w:r>
      <w:r w:rsidR="00EF01FF" w:rsidRPr="00E273DF">
        <w:t>"</w:t>
      </w:r>
      <w:r>
        <w:t xml:space="preserve"> (turpmāk tekstā – Pieslēguma noteikumi). </w:t>
      </w:r>
    </w:p>
    <w:p w14:paraId="45274135" w14:textId="7B18BCA9" w:rsidR="00EC20A5" w:rsidRDefault="00EC20A5" w:rsidP="00EC20A5">
      <w:pPr>
        <w:pStyle w:val="BodyTextIndent"/>
        <w:numPr>
          <w:ilvl w:val="1"/>
          <w:numId w:val="4"/>
        </w:numPr>
        <w:spacing w:after="120"/>
      </w:pPr>
      <w:r>
        <w:t>LIETOTĀJAM saskaņā ar Elektroenerģijas tirgus likuma 9.</w:t>
      </w:r>
      <w:r w:rsidRPr="00361B6D">
        <w:rPr>
          <w:vertAlign w:val="superscript"/>
        </w:rPr>
        <w:t>1</w:t>
      </w:r>
      <w:r>
        <w:t xml:space="preserve"> panta </w:t>
      </w:r>
      <w:r w:rsidR="009A1256">
        <w:t xml:space="preserve">sesto </w:t>
      </w:r>
      <w:r>
        <w:t>daļu ir pienākums maksāt PSO drošība snaudu par elektroenerģijas pārvades sistēmas jaudas rezervēšanu atbilstoši regulatora noteiktai metodikai. PSO atmaksā LIETOTĀJAM tā samaksāto drošības</w:t>
      </w:r>
      <w:r w:rsidR="00361B6D">
        <w:t xml:space="preserve"> </w:t>
      </w:r>
      <w:r>
        <w:t xml:space="preserve">naudu pēc </w:t>
      </w:r>
      <w:r w:rsidR="00361B6D">
        <w:t>LIETOTĀJA</w:t>
      </w:r>
      <w:r w:rsidR="00361B6D" w:rsidRPr="00361B6D">
        <w:t xml:space="preserve"> objekta pieslēgšanas elektroenerģijas pārvades sistēmai</w:t>
      </w:r>
      <w:r w:rsidR="00361B6D">
        <w:t>, ko apliecina PSO</w:t>
      </w:r>
      <w:r>
        <w:t xml:space="preserve"> LIETOTĀJAM izsniegts pagaidu ekspluatācijas paziņojums </w:t>
      </w:r>
      <w:r w:rsidR="00361B6D">
        <w:t>saskaņā ar</w:t>
      </w:r>
      <w:r>
        <w:t xml:space="preserve"> </w:t>
      </w:r>
      <w:r w:rsidR="00361B6D" w:rsidRPr="00834808">
        <w:t xml:space="preserve">PSO izstrādātās un apstiprinātās D tipa elektroenerģijas ražošanas moduļu, </w:t>
      </w:r>
      <w:proofErr w:type="spellStart"/>
      <w:r w:rsidR="00361B6D" w:rsidRPr="00834808">
        <w:t>pieprasījumietaišu</w:t>
      </w:r>
      <w:proofErr w:type="spellEnd"/>
      <w:r w:rsidR="00361B6D" w:rsidRPr="00834808">
        <w:t xml:space="preserve"> un sadales ietaišu ekspluatācijas paziņošanas procedūras kārtības</w:t>
      </w:r>
      <w:r w:rsidR="00361B6D">
        <w:t xml:space="preserve"> un</w:t>
      </w:r>
      <w:r w:rsidR="00361B6D" w:rsidRPr="00834808">
        <w:t xml:space="preserve"> </w:t>
      </w:r>
      <w:r w:rsidR="00361B6D" w:rsidRPr="00834808">
        <w:rPr>
          <w:shd w:val="clear" w:color="auto" w:fill="FCFCFD"/>
        </w:rPr>
        <w:t>Elektroiekārtu pārbaužu veikšanas kārtība</w:t>
      </w:r>
      <w:r w:rsidR="00361B6D" w:rsidRPr="00834808">
        <w:t>s noteikumiem</w:t>
      </w:r>
      <w:r w:rsidR="00361B6D">
        <w:t>. PSO neatmaksā LIETOTĀJAM tā samaksāto drošības naudu Elektroenerģijas tirgus likuma 9.</w:t>
      </w:r>
      <w:r w:rsidR="00361B6D" w:rsidRPr="00361B6D">
        <w:rPr>
          <w:vertAlign w:val="superscript"/>
        </w:rPr>
        <w:t>1</w:t>
      </w:r>
      <w:r w:rsidR="00361B6D">
        <w:t xml:space="preserve"> panta </w:t>
      </w:r>
      <w:r w:rsidR="009A1256">
        <w:t xml:space="preserve">astotajā </w:t>
      </w:r>
      <w:r w:rsidR="00361B6D">
        <w:t>daļā minētajos gadījumos.</w:t>
      </w:r>
    </w:p>
    <w:p w14:paraId="44B33D18" w14:textId="77777777" w:rsidR="004D37F9" w:rsidRDefault="000C2DE0">
      <w:pPr>
        <w:pStyle w:val="BodyTextIndent"/>
        <w:numPr>
          <w:ilvl w:val="0"/>
          <w:numId w:val="4"/>
        </w:numPr>
        <w:spacing w:before="240" w:after="240"/>
        <w:rPr>
          <w:b/>
          <w:bCs/>
        </w:rPr>
      </w:pPr>
      <w:r>
        <w:rPr>
          <w:b/>
          <w:bCs/>
        </w:rPr>
        <w:t>Vienošanās priekšmets, pieslēguma ierīkošanas termiņš un posmi</w:t>
      </w:r>
    </w:p>
    <w:p w14:paraId="2B3BA1B4" w14:textId="76BD28EC" w:rsidR="004D37F9" w:rsidRDefault="000C2DE0" w:rsidP="00EC20A5">
      <w:pPr>
        <w:pStyle w:val="BodyTextIndent"/>
        <w:numPr>
          <w:ilvl w:val="1"/>
          <w:numId w:val="4"/>
        </w:numPr>
        <w:spacing w:after="120"/>
      </w:pPr>
      <w:r>
        <w:t xml:space="preserve">Puses apņemas sadarboties, lai nodrošinātu </w:t>
      </w:r>
      <w:r w:rsidR="00E82491">
        <w:t>LIETOTĀJA</w:t>
      </w:r>
      <w:r>
        <w:t xml:space="preserve"> elektroenerģijas pārvades sistēmas pieslēguma ierīkošanu un </w:t>
      </w:r>
      <w:r w:rsidR="00E82491">
        <w:t>LIETOTĀJA iekārtu</w:t>
      </w:r>
      <w:r>
        <w:t xml:space="preserve"> pieslēgšanu pārvades sistēmai. Elektroenerģijas pārvades sistēmas pieslēgums (turpmāk – Pieslēgums) šīs Vienošanās izpratnē ir elektrotīkla daļa, </w:t>
      </w:r>
      <w:r>
        <w:rPr>
          <w:shd w:val="clear" w:color="auto" w:fill="FFFFFF"/>
        </w:rPr>
        <w:t xml:space="preserve">kuru ierīko elektroenerģijas pievadīšanai no </w:t>
      </w:r>
      <w:bookmarkStart w:id="0" w:name="_Hlk61448155"/>
      <w:r>
        <w:rPr>
          <w:shd w:val="clear" w:color="auto" w:fill="FFFFFF"/>
        </w:rPr>
        <w:t xml:space="preserve">Tehniskajās prasībās </w:t>
      </w:r>
      <w:bookmarkEnd w:id="0"/>
      <w:r>
        <w:rPr>
          <w:shd w:val="clear" w:color="auto" w:fill="FFFFFF"/>
        </w:rPr>
        <w:t>norādītās elektroietaišu piederības robežas līdz Pieslēguma vietai elektroenerģijas pārvades sistēmā</w:t>
      </w:r>
      <w:r>
        <w:t xml:space="preserve">. </w:t>
      </w:r>
    </w:p>
    <w:p w14:paraId="29B74405" w14:textId="09CB5606" w:rsidR="004D37F9" w:rsidRDefault="000C2DE0">
      <w:pPr>
        <w:pStyle w:val="BodyTextIndent"/>
        <w:numPr>
          <w:ilvl w:val="1"/>
          <w:numId w:val="4"/>
        </w:numPr>
        <w:spacing w:after="120"/>
      </w:pPr>
      <w:r>
        <w:t xml:space="preserve">Puses apzinās, ka Pieslēguma ierīkošana ir jāpabeidz 3 (trīs) gadu laikā no Tehnisko prasību izsniegšanas brīža. Šī pienākuma izpildei PSO organizē Pieslēguma ierīkošanu un </w:t>
      </w:r>
      <w:r w:rsidR="0060129C">
        <w:lastRenderedPageBreak/>
        <w:t>LIETOTĀJS</w:t>
      </w:r>
      <w:r>
        <w:t xml:space="preserve"> ierīkotā Pieslēguma pārbaudes brīdī nodrošina vismaz 10% (desmit procentus) no Tehniskajās prasībās noteiktās </w:t>
      </w:r>
      <w:r w:rsidR="0060129C">
        <w:t>LIETOTĀJA iekārtu</w:t>
      </w:r>
      <w:r>
        <w:t xml:space="preserve"> jaudas vai vismaz 5 MW atkarībā no tā, kura vērtība ir lielāka. Puses plāno visas ar Pieslēguma ierīkošanu saistītās darbības tā, lai Pieslēguma ierīkošanas termiņš tiktu ievērots. </w:t>
      </w:r>
    </w:p>
    <w:p w14:paraId="76B92E2F" w14:textId="77777777" w:rsidR="004D37F9" w:rsidRDefault="000C2DE0">
      <w:pPr>
        <w:pStyle w:val="BodyTextIndent"/>
        <w:numPr>
          <w:ilvl w:val="1"/>
          <w:numId w:val="4"/>
        </w:numPr>
        <w:spacing w:after="120"/>
      </w:pPr>
      <w:r>
        <w:t>Pieslēguma ierīkošana ietver šādus procesus:</w:t>
      </w:r>
    </w:p>
    <w:p w14:paraId="392DAE05" w14:textId="77777777" w:rsidR="004D37F9" w:rsidRDefault="000C2DE0">
      <w:pPr>
        <w:pStyle w:val="BodyTextIndent"/>
        <w:numPr>
          <w:ilvl w:val="2"/>
          <w:numId w:val="4"/>
        </w:numPr>
        <w:spacing w:after="120"/>
      </w:pPr>
      <w:r>
        <w:t>Ietekmes uz vidi novērtējuma veikšanu, ja attiecināms;</w:t>
      </w:r>
    </w:p>
    <w:p w14:paraId="2879D3DA" w14:textId="2D8FBE23" w:rsidR="004D37F9" w:rsidRDefault="000C2DE0">
      <w:pPr>
        <w:pStyle w:val="BodyTextIndent"/>
        <w:numPr>
          <w:ilvl w:val="2"/>
          <w:numId w:val="4"/>
        </w:numPr>
        <w:spacing w:after="120"/>
      </w:pPr>
      <w:r>
        <w:t>Pieslēguma būvprojekta izstrādāšan</w:t>
      </w:r>
      <w:r w:rsidR="0060129C">
        <w:t>u</w:t>
      </w:r>
      <w:r>
        <w:t xml:space="preserve">, tai skaitā </w:t>
      </w:r>
      <w:proofErr w:type="spellStart"/>
      <w:r>
        <w:t>priekšizpēt</w:t>
      </w:r>
      <w:r w:rsidR="0060129C">
        <w:t>i</w:t>
      </w:r>
      <w:proofErr w:type="spellEnd"/>
      <w:r>
        <w:t>, ja tāda nepieciešama, saskaņošan</w:t>
      </w:r>
      <w:r w:rsidR="0060129C">
        <w:t>u</w:t>
      </w:r>
      <w:r>
        <w:t xml:space="preserve"> un atzīmes par projektēšanas nosacījumu izpildi izdarīšanu Pieslēguma būvatļaujā normatīvajos aktos noteiktā kārtībā un termiņos, autoruzraudzīb</w:t>
      </w:r>
      <w:r w:rsidR="0060129C">
        <w:t>u</w:t>
      </w:r>
      <w:r>
        <w:t xml:space="preserve"> (turpmāk – </w:t>
      </w:r>
      <w:proofErr w:type="spellStart"/>
      <w:r>
        <w:t>Būvprojektēšana</w:t>
      </w:r>
      <w:proofErr w:type="spellEnd"/>
      <w:r>
        <w:t>), kā arī būvprojekta ekspertīz</w:t>
      </w:r>
      <w:r w:rsidR="0060129C">
        <w:t>i</w:t>
      </w:r>
      <w:r>
        <w:t>;</w:t>
      </w:r>
    </w:p>
    <w:p w14:paraId="64C12A75" w14:textId="46250DBE" w:rsidR="004D37F9" w:rsidRDefault="000C2DE0">
      <w:pPr>
        <w:pStyle w:val="BodyTextIndent"/>
        <w:numPr>
          <w:ilvl w:val="2"/>
          <w:numId w:val="4"/>
        </w:numPr>
        <w:spacing w:after="120"/>
      </w:pPr>
      <w:r>
        <w:t>Pieslēguma ierīkošanai nepieciešamo primāro un sekundāro iekārtu un materiālu (turpmāk – Iekārtas) iegād</w:t>
      </w:r>
      <w:r w:rsidR="0060129C">
        <w:t>i</w:t>
      </w:r>
      <w:r>
        <w:t>;</w:t>
      </w:r>
    </w:p>
    <w:p w14:paraId="6186C9A8" w14:textId="50D8710B" w:rsidR="004D37F9" w:rsidRDefault="000C2DE0">
      <w:pPr>
        <w:pStyle w:val="BodyTextIndent"/>
        <w:numPr>
          <w:ilvl w:val="2"/>
          <w:numId w:val="4"/>
        </w:numPr>
        <w:spacing w:after="120"/>
      </w:pPr>
      <w:r>
        <w:t>Būvdarb</w:t>
      </w:r>
      <w:r w:rsidR="0060129C">
        <w:t>us</w:t>
      </w:r>
      <w:r>
        <w:t>, šo darbu nodošan</w:t>
      </w:r>
      <w:r w:rsidR="0060129C">
        <w:t>u</w:t>
      </w:r>
      <w:r>
        <w:t xml:space="preserve"> ekspluatācijā būvniecības jomu reglamentējošajos normatīvajos aktos noteiktā kārtībā un termiņos (turpmāk – Būvdarbi), kā arī būvdarbu būvuzraudzīb</w:t>
      </w:r>
      <w:r w:rsidR="0060129C">
        <w:t>u</w:t>
      </w:r>
      <w:r>
        <w:t xml:space="preserve"> un </w:t>
      </w:r>
      <w:proofErr w:type="spellStart"/>
      <w:r>
        <w:t>inženierkonsultanta</w:t>
      </w:r>
      <w:proofErr w:type="spellEnd"/>
      <w:r>
        <w:t xml:space="preserve"> pakalpojum</w:t>
      </w:r>
      <w:r w:rsidR="0060129C">
        <w:t>u</w:t>
      </w:r>
      <w:r>
        <w:t xml:space="preserve">s (ja attiecināms). </w:t>
      </w:r>
    </w:p>
    <w:p w14:paraId="0AF3153D" w14:textId="2E773393" w:rsidR="004D37F9" w:rsidRDefault="000C2DE0">
      <w:pPr>
        <w:pStyle w:val="BodyTextIndent"/>
        <w:numPr>
          <w:ilvl w:val="2"/>
          <w:numId w:val="4"/>
        </w:numPr>
        <w:spacing w:after="120"/>
      </w:pPr>
      <w:r>
        <w:t>Pieslēguma pārbaud</w:t>
      </w:r>
      <w:r w:rsidR="0060129C">
        <w:t>i</w:t>
      </w:r>
      <w:r>
        <w:t xml:space="preserve"> ar pirmreizēju sprieguma padošanu un slodzi saskaņā ar Vienošanās 2.2. punktu.</w:t>
      </w:r>
    </w:p>
    <w:p w14:paraId="2A828B85" w14:textId="77777777" w:rsidR="004D37F9" w:rsidRDefault="000C2DE0">
      <w:pPr>
        <w:pStyle w:val="BodyTextIndent"/>
        <w:numPr>
          <w:ilvl w:val="1"/>
          <w:numId w:val="4"/>
        </w:numPr>
        <w:spacing w:after="120"/>
      </w:pPr>
      <w:r>
        <w:t>Vienošanās neietver izbūvētā Pieslēguma ekspluatācijas paziņošanas procedūras un elektroiekārtu pārbaužu veikšanas kārtības prasību izpildes procesu. Šīs darbības, kā arī visas citas darbības, kas ir nepieciešamas izbūvētā Pieslēguma ekspluatācijas uzsākšanai, bet nav atrunātas šajā Vienošanās, Puses saskaņā ar normatīvo aktu prasībām veiks Pieslēguma līgumā un Sistēmas pakalpojuma līgumā noteiktajā kārtībā.</w:t>
      </w:r>
    </w:p>
    <w:p w14:paraId="6D2F364B" w14:textId="7E411432" w:rsidR="004D37F9" w:rsidRDefault="00384B50">
      <w:pPr>
        <w:pStyle w:val="BodyTextIndent"/>
        <w:numPr>
          <w:ilvl w:val="1"/>
          <w:numId w:val="4"/>
        </w:numPr>
        <w:spacing w:after="120"/>
      </w:pPr>
      <w:r>
        <w:t>LIETOTĀJS sedz visas ar Pieslēguma ierīkošanu saistītās izmaksas, t.sk. PSO Pieslēguma ierīkošanas administratīvās izmaksas, ja tādu izmaksu segšana paredzēta normatīvajos aktos.</w:t>
      </w:r>
    </w:p>
    <w:p w14:paraId="4742D84D" w14:textId="3F99418A" w:rsidR="004D37F9" w:rsidRDefault="000C2DE0">
      <w:pPr>
        <w:pStyle w:val="BodyTextIndent"/>
        <w:numPr>
          <w:ilvl w:val="1"/>
          <w:numId w:val="4"/>
        </w:numPr>
        <w:spacing w:after="120"/>
      </w:pPr>
      <w:r>
        <w:t xml:space="preserve">Visas elektroietaises, kuras tiek/tiks ierīkotas </w:t>
      </w:r>
      <w:r w:rsidR="00384B50">
        <w:t>LIETOTĀJA</w:t>
      </w:r>
      <w:r>
        <w:t xml:space="preserve"> pusē </w:t>
      </w:r>
      <w:bookmarkStart w:id="1" w:name="_Hlk61448244"/>
      <w:r>
        <w:t xml:space="preserve">aiz </w:t>
      </w:r>
      <w:r>
        <w:rPr>
          <w:shd w:val="clear" w:color="auto" w:fill="FFFFFF"/>
        </w:rPr>
        <w:t xml:space="preserve">Tehniskajās prasībās </w:t>
      </w:r>
      <w:r>
        <w:t>norādītās elektroietaišu piederības robežas</w:t>
      </w:r>
      <w:bookmarkEnd w:id="1"/>
      <w:r>
        <w:t xml:space="preserve">, ir </w:t>
      </w:r>
      <w:r w:rsidR="00384B50">
        <w:t>LIETOTĀJA</w:t>
      </w:r>
      <w:r>
        <w:t xml:space="preserve"> īpašums, un to ierīkošanu nodrošina un par to ierīkošanu ir atbildīgs </w:t>
      </w:r>
      <w:r w:rsidR="00384B50">
        <w:t>LIETOTĀJS</w:t>
      </w:r>
      <w:r>
        <w:t xml:space="preserve">. PSO neatbild par būvdarbiem, materiāliem un iekārtām, kas tiek veikti, piegādāti vai uzstādīti aiz minētās piederības robežas.     </w:t>
      </w:r>
    </w:p>
    <w:p w14:paraId="6A70E1F4" w14:textId="53F8E31F" w:rsidR="004D37F9" w:rsidRDefault="00384B50">
      <w:pPr>
        <w:pStyle w:val="BodyTextIndent"/>
        <w:numPr>
          <w:ilvl w:val="1"/>
          <w:numId w:val="4"/>
        </w:numPr>
        <w:spacing w:after="120"/>
      </w:pPr>
      <w:r>
        <w:t>LIETOTĀJS apliecina, ka ir informēts un piekrīt, ka Pieslēguma ierīkošanai izstrādātā dokumentācija, veiktie darbi, piegādātās iekārtas pilnā komplektācijā jebkurā darbu izpildes stadijā un/vai pēc Pieslēguma ierīkošanas ir neapstrīdams PSO īpašums.</w:t>
      </w:r>
    </w:p>
    <w:p w14:paraId="079941A2" w14:textId="77777777" w:rsidR="004D37F9" w:rsidRDefault="000C2DE0">
      <w:pPr>
        <w:pStyle w:val="BodyTextIndent"/>
        <w:numPr>
          <w:ilvl w:val="0"/>
          <w:numId w:val="5"/>
        </w:numPr>
        <w:spacing w:after="120"/>
        <w:rPr>
          <w:b/>
          <w:bCs/>
        </w:rPr>
      </w:pPr>
      <w:r>
        <w:rPr>
          <w:b/>
          <w:bCs/>
        </w:rPr>
        <w:t>Ietekmes uz vidi novērtējuma veikšana</w:t>
      </w:r>
    </w:p>
    <w:p w14:paraId="1D779E39" w14:textId="130C4F94" w:rsidR="004D37F9" w:rsidRPr="00384B50" w:rsidRDefault="00384B50" w:rsidP="00384B50">
      <w:pPr>
        <w:pStyle w:val="BodyTextIndent"/>
        <w:numPr>
          <w:ilvl w:val="1"/>
          <w:numId w:val="5"/>
        </w:numPr>
        <w:spacing w:after="120"/>
        <w:ind w:left="397" w:hanging="397"/>
      </w:pPr>
      <w:r w:rsidRPr="00384B50">
        <w:t xml:space="preserve">Ja attiecināms saskaņā ar normatīvo aktu prasībām, </w:t>
      </w:r>
      <w:r>
        <w:t>LIETOTĀJS</w:t>
      </w:r>
      <w:r w:rsidRPr="00384B50">
        <w:t xml:space="preserve"> nodrošina Pieslēguma ierīkošanas ietekmes uz vidi novērtējuma veikšanu normatīvajos aktos noteiktajā kārtībā un apmērā.</w:t>
      </w:r>
    </w:p>
    <w:p w14:paraId="10FDB74B" w14:textId="77777777" w:rsidR="004D37F9" w:rsidRDefault="000C2DE0">
      <w:pPr>
        <w:pStyle w:val="BodyTextIndent"/>
        <w:numPr>
          <w:ilvl w:val="0"/>
          <w:numId w:val="6"/>
        </w:numPr>
        <w:spacing w:before="240" w:after="240"/>
        <w:rPr>
          <w:b/>
          <w:bCs/>
        </w:rPr>
      </w:pPr>
      <w:proofErr w:type="spellStart"/>
      <w:r>
        <w:rPr>
          <w:b/>
          <w:bCs/>
        </w:rPr>
        <w:t>Būvprojektēšana</w:t>
      </w:r>
      <w:proofErr w:type="spellEnd"/>
      <w:r>
        <w:rPr>
          <w:b/>
          <w:bCs/>
        </w:rPr>
        <w:t>, iekārtu piegāde un būvdarbi.</w:t>
      </w:r>
    </w:p>
    <w:p w14:paraId="706D6FC4" w14:textId="21BBBF08" w:rsidR="004D37F9" w:rsidRDefault="000C2DE0">
      <w:pPr>
        <w:pStyle w:val="BodyTextIndent"/>
        <w:numPr>
          <w:ilvl w:val="1"/>
          <w:numId w:val="6"/>
        </w:numPr>
        <w:spacing w:after="120"/>
      </w:pPr>
      <w:r>
        <w:t xml:space="preserve">Puses vienojas, ka </w:t>
      </w:r>
      <w:r w:rsidR="00384B50">
        <w:t>LIETOTĀJS</w:t>
      </w:r>
      <w:r>
        <w:t xml:space="preserve"> Pieslēguma ierīkošanai izvēlas vienu PSO izvirzītajām kvalifikācijas prasībām atbilstošu būvkomersantu, kas nodrošina </w:t>
      </w:r>
      <w:proofErr w:type="spellStart"/>
      <w:r>
        <w:t>Būvprojektēšanu</w:t>
      </w:r>
      <w:proofErr w:type="spellEnd"/>
      <w:r>
        <w:t xml:space="preserve">, Iekārtu piegādi un Būvdarbus. </w:t>
      </w:r>
    </w:p>
    <w:p w14:paraId="3165A2E6" w14:textId="40164BBA" w:rsidR="004D37F9" w:rsidRDefault="00384B50">
      <w:pPr>
        <w:pStyle w:val="BodyTextIndent"/>
        <w:numPr>
          <w:ilvl w:val="1"/>
          <w:numId w:val="6"/>
        </w:numPr>
        <w:spacing w:after="120"/>
      </w:pPr>
      <w:r>
        <w:t xml:space="preserve">LIETOTĀJS nodrošina, ka būvkomersants veiks: </w:t>
      </w:r>
    </w:p>
    <w:p w14:paraId="23270C3A" w14:textId="77777777" w:rsidR="004D37F9" w:rsidRDefault="000C2DE0">
      <w:pPr>
        <w:pStyle w:val="BodyTextIndent"/>
        <w:numPr>
          <w:ilvl w:val="2"/>
          <w:numId w:val="6"/>
        </w:numPr>
        <w:spacing w:after="120"/>
      </w:pPr>
      <w:r>
        <w:t xml:space="preserve">Pieslēguma ierīkošanas būvprojekta izstrādāšanu atbilstoši </w:t>
      </w:r>
      <w:r>
        <w:rPr>
          <w:shd w:val="clear" w:color="auto" w:fill="FFFFFF"/>
        </w:rPr>
        <w:t xml:space="preserve">Tehniskajām prasībām </w:t>
      </w:r>
      <w:r>
        <w:t>un projektēšanas uzdevumam;</w:t>
      </w:r>
    </w:p>
    <w:p w14:paraId="2C0CC92A" w14:textId="77777777" w:rsidR="004D37F9" w:rsidRDefault="000C2DE0">
      <w:pPr>
        <w:pStyle w:val="BodyTextIndent"/>
        <w:numPr>
          <w:ilvl w:val="2"/>
          <w:numId w:val="6"/>
        </w:numPr>
        <w:spacing w:after="120"/>
      </w:pPr>
      <w:r>
        <w:lastRenderedPageBreak/>
        <w:t>Iekārtu pasūtīšanu un piegādi atbilstoši PSO izstrādātām un izsniegtām Iekārtu pasūtīšanas tehniskajām specifikācijām;</w:t>
      </w:r>
    </w:p>
    <w:p w14:paraId="018E1DAA" w14:textId="77777777" w:rsidR="004D37F9" w:rsidRDefault="000C2DE0">
      <w:pPr>
        <w:pStyle w:val="BodyTextIndent"/>
        <w:numPr>
          <w:ilvl w:val="2"/>
          <w:numId w:val="6"/>
        </w:numPr>
        <w:spacing w:after="120"/>
      </w:pPr>
      <w:r>
        <w:t>Būvdarbu veikšanu.</w:t>
      </w:r>
    </w:p>
    <w:p w14:paraId="4414A839" w14:textId="11242BA2" w:rsidR="004D37F9" w:rsidRDefault="00384B50">
      <w:pPr>
        <w:pStyle w:val="BodyTextIndent"/>
        <w:numPr>
          <w:ilvl w:val="1"/>
          <w:numId w:val="7"/>
        </w:numPr>
        <w:spacing w:after="120"/>
      </w:pPr>
      <w:r>
        <w:t>LIETOTĀJS nodrošina:</w:t>
      </w:r>
    </w:p>
    <w:p w14:paraId="678665A7" w14:textId="52DB691B" w:rsidR="004D37F9" w:rsidRDefault="000C2DE0">
      <w:pPr>
        <w:pStyle w:val="BodyTextIndent"/>
        <w:numPr>
          <w:ilvl w:val="2"/>
          <w:numId w:val="7"/>
        </w:numPr>
        <w:spacing w:after="120"/>
      </w:pPr>
      <w:r>
        <w:t xml:space="preserve">izvēlētā būvkomersanta informēšanu par standarta Pieslēguma ierīkošanas līguma noteikumiem un termiņiem tā noslēgšanai ar PSO. </w:t>
      </w:r>
      <w:r w:rsidR="00384B50">
        <w:t>LIETOTĀJS</w:t>
      </w:r>
      <w:r>
        <w:t xml:space="preserve"> apzinās, ka PSO standarta Pieslēguma ierīkošanas līguma noteikumi nav maināmi;</w:t>
      </w:r>
    </w:p>
    <w:p w14:paraId="29F69FE5" w14:textId="77777777" w:rsidR="004D37F9" w:rsidRDefault="000C2DE0">
      <w:pPr>
        <w:pStyle w:val="BodyTextIndent"/>
        <w:numPr>
          <w:ilvl w:val="2"/>
          <w:numId w:val="7"/>
        </w:numPr>
        <w:spacing w:after="120"/>
      </w:pPr>
      <w:r>
        <w:t xml:space="preserve">izvēlētā būvkomersanta iesniegtā Pieslēguma ierīkošanas laika grafika, būvkomersanta iesniegtās Iekārtu tehniskās dokumentācijas, tajā skaitā aizpildītu tehnisko specifikāciju, un citas dokumentācijas, kas var ietekmēt Pieslēguma atbilstību Tehniskajām prasībām saskaņošanu ar PSO. </w:t>
      </w:r>
    </w:p>
    <w:p w14:paraId="7560E111" w14:textId="3163870E" w:rsidR="004D37F9" w:rsidRDefault="000C2DE0">
      <w:pPr>
        <w:pStyle w:val="BodyTextIndent"/>
        <w:numPr>
          <w:ilvl w:val="1"/>
          <w:numId w:val="6"/>
        </w:numPr>
        <w:spacing w:after="120"/>
      </w:pPr>
      <w:r>
        <w:t xml:space="preserve"> PSO nosūta </w:t>
      </w:r>
      <w:r w:rsidR="00384B50">
        <w:t>LIETOTĀJAM</w:t>
      </w:r>
      <w:r>
        <w:t xml:space="preserve"> PSO prasības un iesniedzamo dokumentāciju, t.sk. tās noformēšanas prasības, Vienošanās 4.1., 4.2. un 4.3. punkta izpildei 90 (deviņdesmit) dienu laikā no Vienošanās spēkā stāšanās dienas. </w:t>
      </w:r>
    </w:p>
    <w:p w14:paraId="20A730F4" w14:textId="77B41017" w:rsidR="004D37F9" w:rsidRDefault="000C2DE0">
      <w:pPr>
        <w:pStyle w:val="BodyTextIndent"/>
        <w:numPr>
          <w:ilvl w:val="1"/>
          <w:numId w:val="6"/>
        </w:numPr>
        <w:spacing w:after="120"/>
      </w:pPr>
      <w:r>
        <w:t xml:space="preserve">PSO izvērtē </w:t>
      </w:r>
      <w:r w:rsidR="00384B50">
        <w:t>LIETOTĀJA</w:t>
      </w:r>
      <w:r>
        <w:t xml:space="preserve"> atbilstoši Vienošanās 4.4.punktam iesniegtās dokumentācijas atbilstību PSO izvirzītajām prasībām un atbilstības gadījumā pieņem lēmumu par Pieslēguma ierīkošanas līguma slēgšanu ar </w:t>
      </w:r>
      <w:r w:rsidR="00384B50">
        <w:t>LIETOTĀJA</w:t>
      </w:r>
      <w:r>
        <w:t xml:space="preserve"> izvēlēto būvkomersantu 30 (trīsdesmit) dienu laikā no dienas, kad </w:t>
      </w:r>
      <w:r w:rsidR="00384B50">
        <w:t>LIETOTĀJS</w:t>
      </w:r>
      <w:r>
        <w:t xml:space="preserve"> ir iesniedzis visu pienācīgā kvalitātē izstrādātu dokumentāciju atbilstoši Vienošanās 4.4.punktam, par pieņemto lēmumu, informējot </w:t>
      </w:r>
      <w:r w:rsidR="00384B50">
        <w:t>LIETOTĀJU</w:t>
      </w:r>
      <w:r>
        <w:t xml:space="preserve">. Ja </w:t>
      </w:r>
      <w:r w:rsidR="00384B50">
        <w:t>LIETOTĀJS</w:t>
      </w:r>
      <w:r>
        <w:t xml:space="preserve"> nav iesniedzis dokumentāciju atbilstoši Vienošanās 4.4. punkta prasībām, t.sk. t</w:t>
      </w:r>
      <w:r>
        <w:t>ā ir nepilnīga vai iesniegta neatbilstošā formātā, PSO sniedz motivētu atteikumu lēmuma pieņemšanai 10 (desmit) dienu laikā no dokumentācijas pirmreizējas iesniegšanas.</w:t>
      </w:r>
    </w:p>
    <w:p w14:paraId="490DCA25" w14:textId="4C5D1B70" w:rsidR="004D37F9" w:rsidRPr="00384B50" w:rsidRDefault="000C2DE0">
      <w:pPr>
        <w:pStyle w:val="BodyTextIndent"/>
        <w:numPr>
          <w:ilvl w:val="1"/>
          <w:numId w:val="6"/>
        </w:numPr>
        <w:spacing w:after="120"/>
      </w:pPr>
      <w:r w:rsidRPr="00384B50">
        <w:t xml:space="preserve">Puses vienojas, ka 30 (trīsdesmit) dienu laikā pēc tam, kad PSO saskaņā ar Vienošanās 4.5. punktu ir informējis </w:t>
      </w:r>
      <w:r w:rsidR="00D05242">
        <w:t>LIETOTĀJU</w:t>
      </w:r>
      <w:r w:rsidRPr="00384B50">
        <w:t xml:space="preserve"> par pieņemto lēmumu, PSO un </w:t>
      </w:r>
      <w:r w:rsidR="00D05242">
        <w:t>LIETOTĀJS</w:t>
      </w:r>
      <w:r w:rsidRPr="00384B50">
        <w:t xml:space="preserve">, ja </w:t>
      </w:r>
      <w:r w:rsidR="00D05242">
        <w:t>LIETOTĀJS</w:t>
      </w:r>
      <w:r w:rsidRPr="00384B50">
        <w:t xml:space="preserve"> izpildījis Vienošanās 4.7. punktā minēto un nav saņemts </w:t>
      </w:r>
      <w:r w:rsidR="00D05242">
        <w:t>LIETOTĀJA</w:t>
      </w:r>
      <w:r w:rsidRPr="00384B50">
        <w:t xml:space="preserve"> izvēlētā būvkomersanta atteikums slēgt Pieslēguma ierīkošanas līgumu, noslēdz Pieslēguma līgumu, kurā nosaka vismaz:</w:t>
      </w:r>
    </w:p>
    <w:p w14:paraId="3110CE8D" w14:textId="7E564D94" w:rsidR="004D37F9" w:rsidRPr="00384B50" w:rsidRDefault="000C2DE0" w:rsidP="00384B50">
      <w:pPr>
        <w:pStyle w:val="BodyTextIndent"/>
        <w:numPr>
          <w:ilvl w:val="2"/>
          <w:numId w:val="6"/>
        </w:numPr>
        <w:spacing w:before="120"/>
      </w:pPr>
      <w:r w:rsidRPr="00384B50">
        <w:t xml:space="preserve">Pieslēguma vietu; </w:t>
      </w:r>
    </w:p>
    <w:p w14:paraId="6CD0BA48" w14:textId="77777777" w:rsidR="004D37F9" w:rsidRPr="00384B50" w:rsidRDefault="000C2DE0" w:rsidP="00384B50">
      <w:pPr>
        <w:pStyle w:val="BodyTextIndent"/>
        <w:numPr>
          <w:ilvl w:val="2"/>
          <w:numId w:val="6"/>
        </w:numPr>
        <w:spacing w:before="120"/>
      </w:pPr>
      <w:r w:rsidRPr="00384B50">
        <w:t>elektroietaišu piederības robežu;</w:t>
      </w:r>
    </w:p>
    <w:p w14:paraId="1E874BCD" w14:textId="77777777" w:rsidR="004D37F9" w:rsidRPr="00384B50" w:rsidRDefault="000C2DE0" w:rsidP="00384B50">
      <w:pPr>
        <w:pStyle w:val="BodyTextIndent"/>
        <w:numPr>
          <w:ilvl w:val="2"/>
          <w:numId w:val="6"/>
        </w:numPr>
        <w:spacing w:before="120"/>
      </w:pPr>
      <w:r w:rsidRPr="00384B50">
        <w:t>Pieslēguma maksu, izmaiņu veikšanu tajā un tās samaksas kārtību;</w:t>
      </w:r>
    </w:p>
    <w:p w14:paraId="4773C3D3" w14:textId="77777777" w:rsidR="004D37F9" w:rsidRPr="00384B50" w:rsidRDefault="000C2DE0" w:rsidP="00384B50">
      <w:pPr>
        <w:pStyle w:val="BodyTextIndent"/>
        <w:numPr>
          <w:ilvl w:val="2"/>
          <w:numId w:val="6"/>
        </w:numPr>
        <w:spacing w:before="120"/>
      </w:pPr>
      <w:r w:rsidRPr="00384B50">
        <w:t>Pieslēguma ierīkošanas termiņu;</w:t>
      </w:r>
    </w:p>
    <w:p w14:paraId="3F2C5303" w14:textId="0CCA605A" w:rsidR="004D37F9" w:rsidRPr="00384B50" w:rsidRDefault="00D05242" w:rsidP="00384B50">
      <w:pPr>
        <w:pStyle w:val="BodyTextIndent"/>
        <w:numPr>
          <w:ilvl w:val="2"/>
          <w:numId w:val="6"/>
        </w:numPr>
        <w:spacing w:before="120"/>
      </w:pPr>
      <w:r>
        <w:t>LIETOTĀJA</w:t>
      </w:r>
      <w:r w:rsidRPr="00384B50">
        <w:t xml:space="preserve"> iemaksājamā avansa apmēru, kas nosakāms </w:t>
      </w:r>
      <w:r w:rsidRPr="008E174A">
        <w:rPr>
          <w:rFonts w:eastAsia="Times New Roman"/>
        </w:rPr>
        <w:t xml:space="preserve">20 852,40 </w:t>
      </w:r>
      <w:r w:rsidRPr="00384B50">
        <w:t>EUR</w:t>
      </w:r>
      <w:r w:rsidRPr="008E174A">
        <w:rPr>
          <w:rFonts w:eastAsia="Times New Roman"/>
        </w:rPr>
        <w:t xml:space="preserve"> (divdesmit tūkstoši astoņi simti piecdesmit divi </w:t>
      </w:r>
      <w:r w:rsidRPr="00D350F2">
        <w:rPr>
          <w:rFonts w:eastAsia="Times New Roman"/>
          <w:i/>
          <w:iCs/>
        </w:rPr>
        <w:t>euro</w:t>
      </w:r>
      <w:r w:rsidRPr="008E174A">
        <w:rPr>
          <w:rFonts w:eastAsia="Times New Roman"/>
        </w:rPr>
        <w:t xml:space="preserve"> un </w:t>
      </w:r>
      <w:r>
        <w:rPr>
          <w:rFonts w:eastAsia="Times New Roman"/>
        </w:rPr>
        <w:t>40</w:t>
      </w:r>
      <w:r w:rsidRPr="008E174A">
        <w:rPr>
          <w:rFonts w:eastAsia="Times New Roman"/>
        </w:rPr>
        <w:t xml:space="preserve"> centi)</w:t>
      </w:r>
      <w:r w:rsidRPr="00384B50">
        <w:t xml:space="preserve"> par 1 (vienu) uzstādāmās jaudas MW vai 50% (piecdesmit procentu) apmērā no Pieslēguma ierīkošanai nepieciešamo iekārtu izmaksām atkarībā no tā, kurš lielums ir lielāks. Ja Pieslēguma maksa ir mazāka par minēto summu, avanss ir vienāds ar Pieslēguma maksu;</w:t>
      </w:r>
      <w:r>
        <w:t xml:space="preserve"> </w:t>
      </w:r>
    </w:p>
    <w:p w14:paraId="2279805E" w14:textId="77777777" w:rsidR="004D37F9" w:rsidRPr="00384B50" w:rsidRDefault="000C2DE0" w:rsidP="00E52058">
      <w:pPr>
        <w:pStyle w:val="BodyTextIndent"/>
        <w:numPr>
          <w:ilvl w:val="2"/>
          <w:numId w:val="6"/>
        </w:numPr>
        <w:spacing w:before="120"/>
      </w:pPr>
      <w:r w:rsidRPr="00384B50">
        <w:t>avansa izlietošanas kārtību;</w:t>
      </w:r>
    </w:p>
    <w:p w14:paraId="2A3E6DAB" w14:textId="60181531" w:rsidR="004D37F9" w:rsidRPr="00384B50" w:rsidRDefault="000C2DE0" w:rsidP="00384B50">
      <w:pPr>
        <w:pStyle w:val="BodyTextIndent"/>
        <w:numPr>
          <w:ilvl w:val="2"/>
          <w:numId w:val="6"/>
        </w:numPr>
        <w:spacing w:before="120"/>
      </w:pPr>
      <w:r w:rsidRPr="00384B50">
        <w:rPr>
          <w:shd w:val="clear" w:color="auto" w:fill="FFFFFF"/>
        </w:rPr>
        <w:t xml:space="preserve">PSO un </w:t>
      </w:r>
      <w:r w:rsidR="00D05242">
        <w:rPr>
          <w:shd w:val="clear" w:color="auto" w:fill="FFFFFF"/>
        </w:rPr>
        <w:t>LIETOTĀJA</w:t>
      </w:r>
      <w:r w:rsidRPr="00384B50">
        <w:t xml:space="preserve"> tiesību un </w:t>
      </w:r>
      <w:r w:rsidRPr="00384B50">
        <w:rPr>
          <w:shd w:val="clear" w:color="auto" w:fill="FFFFFF"/>
        </w:rPr>
        <w:t>pienākumu  kopumu;</w:t>
      </w:r>
    </w:p>
    <w:p w14:paraId="3801F298" w14:textId="77777777" w:rsidR="004D37F9" w:rsidRPr="00384B50" w:rsidRDefault="000C2DE0" w:rsidP="00384B50">
      <w:pPr>
        <w:pStyle w:val="BodyTextIndent"/>
        <w:numPr>
          <w:ilvl w:val="2"/>
          <w:numId w:val="6"/>
        </w:numPr>
        <w:spacing w:before="120"/>
      </w:pPr>
      <w:r w:rsidRPr="00384B50">
        <w:t>nosacījumus Pieslēguma pārbaudei ar pirmreizēju sprieguma padošanu;</w:t>
      </w:r>
    </w:p>
    <w:p w14:paraId="3DC470E9" w14:textId="77777777" w:rsidR="004D37F9" w:rsidRPr="00384B50" w:rsidRDefault="000C2DE0" w:rsidP="00384B50">
      <w:pPr>
        <w:pStyle w:val="BodyTextIndent"/>
        <w:numPr>
          <w:ilvl w:val="2"/>
          <w:numId w:val="6"/>
        </w:numPr>
        <w:spacing w:before="120"/>
      </w:pPr>
      <w:r w:rsidRPr="00384B50">
        <w:t xml:space="preserve">Pieslēguma nodošanu ekspluatācijā.  </w:t>
      </w:r>
    </w:p>
    <w:p w14:paraId="342C5D42" w14:textId="53BC4F75" w:rsidR="004D37F9" w:rsidRDefault="00D05242">
      <w:pPr>
        <w:pStyle w:val="BodyTextIndent"/>
        <w:numPr>
          <w:ilvl w:val="1"/>
          <w:numId w:val="6"/>
        </w:numPr>
        <w:spacing w:before="120" w:after="120"/>
      </w:pPr>
      <w:r>
        <w:t>LIETOTĀJS nodrošina PSO zemes gabalu Pieslēguma elektroiekārtu izvietošanai, ja tāds nepieciešams, un līdz Pieslēguma līguma noslēgšanai noslēdz ar PSO zemes gabala pirkšanas pārdošanas līgumu vai apbūves tiesību līgumu.</w:t>
      </w:r>
    </w:p>
    <w:p w14:paraId="250272D0" w14:textId="7CED7534" w:rsidR="004D37F9" w:rsidRPr="00D05242" w:rsidRDefault="000C2DE0">
      <w:pPr>
        <w:pStyle w:val="BodyTextIndent"/>
        <w:numPr>
          <w:ilvl w:val="1"/>
          <w:numId w:val="6"/>
        </w:numPr>
        <w:spacing w:after="120"/>
      </w:pPr>
      <w:r w:rsidRPr="00D05242">
        <w:lastRenderedPageBreak/>
        <w:t xml:space="preserve">30 (trīsdesmit) dienu laikā pēc Pieslēguma līguma noslēgšanas un </w:t>
      </w:r>
      <w:r w:rsidR="00D05242" w:rsidRPr="00D05242">
        <w:t>LIETOTĀJA</w:t>
      </w:r>
      <w:r w:rsidRPr="00D05242">
        <w:t xml:space="preserve"> avansa apmaksas pilnā apmērā saņemšanas, PSO noslēdz standarta Pieslēguma ierīkošanas līgumu ar </w:t>
      </w:r>
      <w:r w:rsidR="00D05242" w:rsidRPr="00D05242">
        <w:t>LIETOTĀJA</w:t>
      </w:r>
      <w:r w:rsidRPr="00D05242">
        <w:t xml:space="preserve"> izvēlēto būvkomersantu vai informē </w:t>
      </w:r>
      <w:r w:rsidR="00D05242" w:rsidRPr="00D05242">
        <w:t>LIETOTĀJU</w:t>
      </w:r>
      <w:r w:rsidRPr="00D05242">
        <w:t xml:space="preserve"> par būvkomersanta atteikumu slēgt līgumu.  </w:t>
      </w:r>
    </w:p>
    <w:p w14:paraId="69FB5420" w14:textId="107A1754" w:rsidR="004D37F9" w:rsidRPr="00D05242" w:rsidRDefault="000C2DE0">
      <w:pPr>
        <w:pStyle w:val="BodyTextIndent"/>
        <w:numPr>
          <w:ilvl w:val="1"/>
          <w:numId w:val="6"/>
        </w:numPr>
        <w:spacing w:after="120"/>
      </w:pPr>
      <w:r w:rsidRPr="00D05242">
        <w:t xml:space="preserve">Ja saņemts </w:t>
      </w:r>
      <w:r w:rsidR="00D05242" w:rsidRPr="00D05242">
        <w:t>LIETOTĀJA</w:t>
      </w:r>
      <w:r w:rsidRPr="00D05242">
        <w:t xml:space="preserve"> izvēlētā būvkomersanta atteikums slēgt Pieslēguma ierīkošanas līgumu, PSO izbeidz Pieslēguma līgumu tajā noteiktajā kārtībā. </w:t>
      </w:r>
    </w:p>
    <w:p w14:paraId="69D7432A" w14:textId="77777777" w:rsidR="004D37F9" w:rsidRDefault="000C2DE0">
      <w:pPr>
        <w:pStyle w:val="BodyTextIndent"/>
        <w:numPr>
          <w:ilvl w:val="0"/>
          <w:numId w:val="4"/>
        </w:numPr>
        <w:spacing w:before="240" w:after="240"/>
        <w:rPr>
          <w:b/>
          <w:bCs/>
        </w:rPr>
      </w:pPr>
      <w:r>
        <w:rPr>
          <w:b/>
          <w:bCs/>
        </w:rPr>
        <w:t>Būvprojekta ekspertīze un Būvdarbu būvuzraudzība.</w:t>
      </w:r>
    </w:p>
    <w:p w14:paraId="02387F8C" w14:textId="6CB93BD0" w:rsidR="004D37F9" w:rsidRDefault="000C2DE0">
      <w:pPr>
        <w:pStyle w:val="BodyTextIndent"/>
        <w:numPr>
          <w:ilvl w:val="1"/>
          <w:numId w:val="4"/>
        </w:numPr>
        <w:spacing w:before="120" w:after="120"/>
      </w:pPr>
      <w:r>
        <w:t xml:space="preserve">Puses vienojas, ka būvprojekta ekspertīzes veicēju un būvdarbu būvuzraudzības pakalpojumu sniedzēju, </w:t>
      </w:r>
      <w:proofErr w:type="spellStart"/>
      <w:r>
        <w:t>inženierkonsultanta</w:t>
      </w:r>
      <w:proofErr w:type="spellEnd"/>
      <w:r>
        <w:t xml:space="preserve"> pakalpojuma sniedzēju, ja attiecināms, izvēlas PSO un noslēdz atbilstošus līgumus līdz atzīmes par projektēšanas nosacījumu izpildi izdarīšanai Pieslēguma būvatļaujā. Puses apzinās, ka Pieslēguma ierīkošana nav iespējama, ja nav noslēgts līgums ar atbilstošu komersantu par būvprojekta ekspertīzes veikšanu un būvuzraudzības pakalpojuma sniegšanu. Būvprojekta ekspertīzes un būvdarbu būvuzraudzības izmaksas sedz </w:t>
      </w:r>
      <w:r w:rsidR="00583504">
        <w:t>LIETOTĀJS</w:t>
      </w:r>
      <w:r>
        <w:t xml:space="preserve">. </w:t>
      </w:r>
    </w:p>
    <w:p w14:paraId="4C81D6CE" w14:textId="77777777" w:rsidR="004D37F9" w:rsidRDefault="000C2DE0">
      <w:pPr>
        <w:pStyle w:val="BodyTextIndent"/>
        <w:numPr>
          <w:ilvl w:val="0"/>
          <w:numId w:val="4"/>
        </w:numPr>
        <w:spacing w:before="240" w:after="240"/>
        <w:rPr>
          <w:b/>
          <w:bCs/>
        </w:rPr>
      </w:pPr>
      <w:r>
        <w:rPr>
          <w:b/>
          <w:bCs/>
        </w:rPr>
        <w:t>Pušu atbildība.</w:t>
      </w:r>
    </w:p>
    <w:p w14:paraId="2C1A787A" w14:textId="77777777" w:rsidR="004D37F9" w:rsidRDefault="000C2DE0">
      <w:pPr>
        <w:pStyle w:val="BodyTextIndent"/>
        <w:numPr>
          <w:ilvl w:val="1"/>
          <w:numId w:val="10"/>
        </w:numPr>
        <w:spacing w:after="120"/>
      </w:pPr>
      <w:r>
        <w:t xml:space="preserve">Ja pēc Vienošanās noslēgšanas notiek Pieslēguma ierīkošanas ierosinātāja maiņa vai kāda no Pusēm vēlas no šīs Vienošanās izrietošās saistības (tiesības un pienākumus) nodot citai personai, tad šī Puse par to paziņo otrajai Pusei un Puses kopīgi rakstveidā vienojas par turpmāko rīcību. Šādā gadījumā Pieslēguma ierīkošanas tiesību un saistību pārņēmējam ir saistošs Vienošanās 2.2.punktā noteiktais termiņš. </w:t>
      </w:r>
    </w:p>
    <w:p w14:paraId="0E8CB06C" w14:textId="77777777" w:rsidR="004D37F9" w:rsidRDefault="000C2DE0">
      <w:pPr>
        <w:pStyle w:val="BodyTextIndent"/>
        <w:numPr>
          <w:ilvl w:val="1"/>
          <w:numId w:val="10"/>
        </w:numPr>
        <w:spacing w:after="120"/>
      </w:pPr>
      <w:r>
        <w:t>Ņemot vērā, ka Vienošanās noteikto abu Pušu saistību izpilde ir tieši atkarīga no savstarpējās Pušu sadarbības, Puses apņemas iespēju robežās maksimāli īsos, reāli iespējamos termiņos veikt visas nepieciešamās darbības, no kurām atkarīga otras Puses šīs Vienošanās saistību izpilde.</w:t>
      </w:r>
    </w:p>
    <w:p w14:paraId="4658D961" w14:textId="77777777" w:rsidR="004D37F9" w:rsidRPr="00E52058" w:rsidRDefault="000C2DE0">
      <w:pPr>
        <w:pStyle w:val="BodyTextIndent"/>
        <w:numPr>
          <w:ilvl w:val="0"/>
          <w:numId w:val="4"/>
        </w:numPr>
        <w:spacing w:before="240" w:after="240"/>
        <w:rPr>
          <w:b/>
          <w:bCs/>
        </w:rPr>
      </w:pPr>
      <w:r w:rsidRPr="00E52058">
        <w:rPr>
          <w:b/>
          <w:bCs/>
        </w:rPr>
        <w:t>Vienošanās spēkā stāšanās, izbeigšana un grozījumi.</w:t>
      </w:r>
    </w:p>
    <w:p w14:paraId="59983647" w14:textId="77777777" w:rsidR="004D37F9" w:rsidRDefault="000C2DE0">
      <w:pPr>
        <w:pStyle w:val="BodyTextIndent"/>
        <w:numPr>
          <w:ilvl w:val="1"/>
          <w:numId w:val="10"/>
        </w:numPr>
        <w:spacing w:after="120"/>
      </w:pPr>
      <w:r>
        <w:t xml:space="preserve">Vienošanās stājas spēkā ar brīdi, kad to parakstījušas abas Puses un ir spēkā līdz Pušu saistību pilnīgai izpildei, bet ne ilgāk kā 3 (trīs) gadus no Tehnisko prasību izsniegšanas brīža. </w:t>
      </w:r>
    </w:p>
    <w:p w14:paraId="3F672C0B" w14:textId="77777777" w:rsidR="004D37F9" w:rsidRDefault="000C2DE0">
      <w:pPr>
        <w:pStyle w:val="BodyTextIndent"/>
        <w:numPr>
          <w:ilvl w:val="1"/>
          <w:numId w:val="10"/>
        </w:numPr>
        <w:spacing w:after="120"/>
      </w:pPr>
      <w:r>
        <w:t>Vienošanās var tikt izbeigta pirms šīs Vienošanās 7.1.punktā minētā termiņa, ja Puses rakstveidā vienojušās par tās izbeigšanu.</w:t>
      </w:r>
    </w:p>
    <w:p w14:paraId="74116B33" w14:textId="77777777" w:rsidR="004D37F9" w:rsidRDefault="000C2DE0">
      <w:pPr>
        <w:pStyle w:val="BodyTextIndent"/>
        <w:numPr>
          <w:ilvl w:val="1"/>
          <w:numId w:val="10"/>
        </w:numPr>
        <w:spacing w:after="120"/>
      </w:pPr>
      <w:r>
        <w:t>PSO paziņo par Vienošanās vienpusēju izbeigšanu pirms šīs Vienošanās 7.1. punktā minētā termiņa šādos gadījumos:</w:t>
      </w:r>
    </w:p>
    <w:p w14:paraId="5195F22B" w14:textId="7D7B8DA5" w:rsidR="004D37F9" w:rsidRDefault="00E52058" w:rsidP="00E52058">
      <w:pPr>
        <w:pStyle w:val="BodyTextIndent"/>
        <w:numPr>
          <w:ilvl w:val="2"/>
          <w:numId w:val="10"/>
        </w:numPr>
        <w:spacing w:after="120"/>
        <w:ind w:left="964" w:hanging="567"/>
      </w:pPr>
      <w:r>
        <w:t>LIETOTĀJS neievēro kādu no šajā Vienošanās noteiktajiem termiņiem. Šādā gadījumā PSO par Vienošanās vienpusēju izbeigšanu paziņo 30 dienas iepriekš. PSO nav pienākuma segt jebkādus iespējamos izdevumus, kas LIETOTĀJAM varētu būt radušies Tehnisko prasību īstenošanā;</w:t>
      </w:r>
    </w:p>
    <w:p w14:paraId="007849C5" w14:textId="33C7FE3E" w:rsidR="004D37F9" w:rsidRDefault="000C2DE0" w:rsidP="00E52058">
      <w:pPr>
        <w:pStyle w:val="BodyTextIndent"/>
        <w:numPr>
          <w:ilvl w:val="2"/>
          <w:numId w:val="10"/>
        </w:numPr>
        <w:spacing w:after="120"/>
        <w:ind w:left="964" w:hanging="567"/>
      </w:pPr>
      <w:r>
        <w:t xml:space="preserve">tiek izbeigts PSO un </w:t>
      </w:r>
      <w:r w:rsidR="00E52058">
        <w:t>LIETOTĀJA</w:t>
      </w:r>
      <w:r>
        <w:t xml:space="preserve"> noslēgtais Pieslēguma līgums;</w:t>
      </w:r>
    </w:p>
    <w:p w14:paraId="21B2BE7E" w14:textId="59D7D17E" w:rsidR="004D37F9" w:rsidRDefault="00E90560" w:rsidP="00E52058">
      <w:pPr>
        <w:pStyle w:val="BodyTextIndent"/>
        <w:numPr>
          <w:ilvl w:val="2"/>
          <w:numId w:val="10"/>
        </w:numPr>
        <w:spacing w:after="120"/>
        <w:ind w:left="964" w:hanging="567"/>
      </w:pPr>
      <w:r>
        <w:rPr>
          <w:rFonts w:eastAsia="Times New Roman"/>
        </w:rPr>
        <w:t>LIETOTĀJAM</w:t>
      </w:r>
      <w:r w:rsidRPr="008E174A">
        <w:rPr>
          <w:rFonts w:eastAsia="Times New Roman"/>
        </w:rPr>
        <w:t xml:space="preserve">, tās dalībniekiem vai pārstāvjiem vai patiesā labuma guvējiem piemērotas starptautiskās vai nacionālās sankcijas vai </w:t>
      </w:r>
      <w:r w:rsidRPr="009F6A10">
        <w:rPr>
          <w:rFonts w:eastAsia="Times New Roman"/>
        </w:rPr>
        <w:t>Eiropas Savienības vai Ziemeļatlantijas līguma organizācijas dalībvalsts noteiktās sankcijas</w:t>
      </w:r>
      <w:r>
        <w:rPr>
          <w:rFonts w:eastAsia="Times New Roman"/>
        </w:rPr>
        <w:t xml:space="preserve">, kas </w:t>
      </w:r>
      <w:r w:rsidRPr="008E174A">
        <w:rPr>
          <w:rFonts w:eastAsia="Times New Roman"/>
        </w:rPr>
        <w:t>būtis</w:t>
      </w:r>
      <w:r>
        <w:rPr>
          <w:rFonts w:eastAsia="Times New Roman"/>
        </w:rPr>
        <w:t>ki ietekmē</w:t>
      </w:r>
      <w:r w:rsidRPr="008E174A">
        <w:rPr>
          <w:rFonts w:eastAsia="Times New Roman"/>
        </w:rPr>
        <w:t xml:space="preserve"> finanšu un kapitāla tirgus intereses</w:t>
      </w:r>
      <w:r>
        <w:rPr>
          <w:rFonts w:eastAsia="Times New Roman"/>
        </w:rPr>
        <w:t>.</w:t>
      </w:r>
      <w:r w:rsidRPr="008E174A">
        <w:rPr>
          <w:rFonts w:eastAsia="Times New Roman"/>
        </w:rPr>
        <w:t xml:space="preserve"> </w:t>
      </w:r>
      <w:r>
        <w:rPr>
          <w:rFonts w:eastAsia="Times New Roman"/>
        </w:rPr>
        <w:t>Tostarp</w:t>
      </w:r>
      <w:r w:rsidRPr="008E174A">
        <w:rPr>
          <w:rFonts w:eastAsia="Times New Roman"/>
        </w:rPr>
        <w:t xml:space="preserve">, uz </w:t>
      </w:r>
      <w:r>
        <w:rPr>
          <w:rFonts w:eastAsia="Times New Roman"/>
        </w:rPr>
        <w:t>LIETOTĀJU</w:t>
      </w:r>
      <w:r w:rsidRPr="008E174A">
        <w:rPr>
          <w:rFonts w:eastAsia="Times New Roman"/>
        </w:rPr>
        <w:t xml:space="preserve"> ir attiecināms 2022. gada 8. aprīļa Padomes Regulas (ES) 2022/576, ar kuru groza Regulu (ES) Nr. 833/2014 par ierobežojošiem pasākumiem saistībā ar Krievijas darbībām, kas destabilizē situāciju Ukrainā 5.k panta 1. punkts;</w:t>
      </w:r>
      <w:r>
        <w:t>.</w:t>
      </w:r>
    </w:p>
    <w:p w14:paraId="6142BCE4" w14:textId="4403E84A" w:rsidR="004D37F9" w:rsidRDefault="000C2DE0">
      <w:pPr>
        <w:pStyle w:val="BodyTextIndent"/>
        <w:numPr>
          <w:ilvl w:val="1"/>
          <w:numId w:val="11"/>
        </w:numPr>
        <w:spacing w:after="120"/>
      </w:pPr>
      <w:r>
        <w:lastRenderedPageBreak/>
        <w:t xml:space="preserve">Ja Vienošanās tiek izbeigta kādā no šīs Vienošanās 7.3. punktā minētajiem gadījumiem, </w:t>
      </w:r>
      <w:r w:rsidR="00E52058">
        <w:t>LIETOTĀJS</w:t>
      </w:r>
      <w:r>
        <w:t xml:space="preserve"> sedz visas PSO līdz Vienošanās izbeigšanai un ar Vienošanās izbeigšanu radušās izmaksas.</w:t>
      </w:r>
    </w:p>
    <w:p w14:paraId="5855695B" w14:textId="77777777" w:rsidR="004D37F9" w:rsidRDefault="000C2DE0">
      <w:pPr>
        <w:pStyle w:val="BodyTextIndent"/>
        <w:numPr>
          <w:ilvl w:val="0"/>
          <w:numId w:val="4"/>
        </w:numPr>
        <w:spacing w:before="240" w:after="240"/>
        <w:rPr>
          <w:b/>
          <w:bCs/>
        </w:rPr>
      </w:pPr>
      <w:r>
        <w:rPr>
          <w:b/>
          <w:bCs/>
        </w:rPr>
        <w:t>Nepārvarami, ārkārtēja rakstura apstākļi.</w:t>
      </w:r>
    </w:p>
    <w:p w14:paraId="5FB7A737" w14:textId="77777777" w:rsidR="004D37F9" w:rsidRDefault="000C2DE0">
      <w:pPr>
        <w:pStyle w:val="BodyTextIndent"/>
        <w:numPr>
          <w:ilvl w:val="1"/>
          <w:numId w:val="10"/>
        </w:numPr>
        <w:spacing w:after="120"/>
      </w:pPr>
      <w:r>
        <w:t>Puses tiek atbrīvotas no atbildības par Vienošanās pilnīgu vai daļēju neizpildi, ja šāda neizpilde radusies nepārvaramu, ārkārtēja rakstura apstākļu dēļ, kuru darbība sākusies pēc Vienošanās parakstīšanas.</w:t>
      </w:r>
    </w:p>
    <w:p w14:paraId="2396DD0C" w14:textId="77777777" w:rsidR="004D37F9" w:rsidRDefault="000C2DE0">
      <w:pPr>
        <w:pStyle w:val="BodyTextIndent"/>
        <w:numPr>
          <w:ilvl w:val="1"/>
          <w:numId w:val="10"/>
        </w:numPr>
        <w:spacing w:after="120"/>
      </w:pPr>
      <w:r>
        <w:t xml:space="preserve">Pie šādiem nepārvaramiem, ārkārtēja rakstura apstākļiem, kurus Puses nevarēja iepriekš ne paredzēt, ne novērst pieder dabas katastrofas (ugunsgrēki, plūdi, zemestrīces u.c.), sociālie konflikti (streiki, boikoti, militāras operācijas, blokāde, teroristu uzbrukumi u.c.),  valsts vai pašvaldību institūciju pieņemtie lēmumi.  </w:t>
      </w:r>
    </w:p>
    <w:p w14:paraId="6DAAD6B2" w14:textId="77777777" w:rsidR="004D37F9" w:rsidRDefault="000C2DE0">
      <w:pPr>
        <w:pStyle w:val="BodyTextIndent"/>
        <w:numPr>
          <w:ilvl w:val="1"/>
          <w:numId w:val="10"/>
        </w:numPr>
        <w:spacing w:after="120"/>
      </w:pPr>
      <w:r>
        <w:t>Pusei, kura atsaucas uz nepārvaramas varas, ārkārtēja rakstura apstākļu darbību, nekavējoties par šādiem apstākļiem rakstveidā jāziņo otrai Pusei, norādot nepārvaramās varas apstākļus un pamatojumu, to iestāšanās laiku un iespējamo izbeigšanos ne vēlāk kā piecu dienu laikā, skaitot no dienas, kurā šie apstākļi iestājušies.</w:t>
      </w:r>
    </w:p>
    <w:p w14:paraId="4DFB537D" w14:textId="77777777" w:rsidR="004D37F9" w:rsidRDefault="000C2DE0">
      <w:pPr>
        <w:pStyle w:val="BodyTextIndent"/>
        <w:numPr>
          <w:ilvl w:val="0"/>
          <w:numId w:val="4"/>
        </w:numPr>
        <w:spacing w:before="240" w:after="240"/>
        <w:rPr>
          <w:b/>
          <w:bCs/>
        </w:rPr>
      </w:pPr>
      <w:r>
        <w:rPr>
          <w:b/>
          <w:bCs/>
        </w:rPr>
        <w:t>Strīdu izskatīšanas kārtība.</w:t>
      </w:r>
    </w:p>
    <w:p w14:paraId="3DBEC0BF" w14:textId="77777777" w:rsidR="004D37F9" w:rsidRDefault="000C2DE0">
      <w:pPr>
        <w:pStyle w:val="BodyTextIndent"/>
        <w:numPr>
          <w:ilvl w:val="1"/>
          <w:numId w:val="10"/>
        </w:numPr>
        <w:spacing w:after="120"/>
      </w:pPr>
      <w:r>
        <w:t>Visus strīdus un domstarpības, kas var rasties Vienošanās izpildes gaitā vai atsevišķu Vienošanās nosacījumu izpratnē, Puses risina savstarpēju pārrunu ceļā.</w:t>
      </w:r>
    </w:p>
    <w:p w14:paraId="59F52D29" w14:textId="77777777" w:rsidR="004D37F9" w:rsidRDefault="000C2DE0">
      <w:pPr>
        <w:pStyle w:val="BodyTextIndent"/>
        <w:numPr>
          <w:ilvl w:val="1"/>
          <w:numId w:val="10"/>
        </w:numPr>
        <w:spacing w:after="120"/>
      </w:pPr>
      <w:r>
        <w:t>Ja viena mēneša laikā no strīda rašanās brīža vienošanās netiek panākta, Puses strīdu risina Latvijas Republikas tiesu instancēs, normatīvajos aktos noteiktajā kārtībā.</w:t>
      </w:r>
    </w:p>
    <w:p w14:paraId="2DD26C91" w14:textId="77777777" w:rsidR="004D37F9" w:rsidRPr="00661625" w:rsidRDefault="000C2DE0">
      <w:pPr>
        <w:pStyle w:val="BodyTextIndent"/>
        <w:numPr>
          <w:ilvl w:val="0"/>
          <w:numId w:val="4"/>
        </w:numPr>
        <w:spacing w:before="240" w:after="240"/>
        <w:rPr>
          <w:b/>
          <w:bCs/>
        </w:rPr>
      </w:pPr>
      <w:r w:rsidRPr="00661625">
        <w:rPr>
          <w:b/>
          <w:bCs/>
        </w:rPr>
        <w:t>Papildus noteikumi.</w:t>
      </w:r>
    </w:p>
    <w:p w14:paraId="7C9BB503" w14:textId="77777777" w:rsidR="004D37F9" w:rsidRDefault="000C2DE0">
      <w:pPr>
        <w:pStyle w:val="BodyTextIndent"/>
        <w:numPr>
          <w:ilvl w:val="1"/>
          <w:numId w:val="12"/>
        </w:numPr>
        <w:spacing w:after="120"/>
      </w:pPr>
      <w:r>
        <w:t xml:space="preserve">Parakstītā Vienošanās pilnībā apliecina Pušu saistības.  </w:t>
      </w:r>
    </w:p>
    <w:p w14:paraId="7C7C3916" w14:textId="77777777" w:rsidR="004D37F9" w:rsidRDefault="000C2DE0">
      <w:pPr>
        <w:pStyle w:val="BodyTextIndent"/>
        <w:numPr>
          <w:ilvl w:val="1"/>
          <w:numId w:val="12"/>
        </w:numPr>
        <w:spacing w:after="120"/>
      </w:pPr>
      <w:r>
        <w:t>Visi grozījumi un papildinājumi Vienošanās stājas spēkā tikai pēc to rakstiskas noformēšanas un abpusējas parakstīšanas, un kļūst par Vienošanās neatņemamu sastāvdaļu.</w:t>
      </w:r>
    </w:p>
    <w:p w14:paraId="44A6EAB7" w14:textId="77777777" w:rsidR="004D37F9" w:rsidRDefault="000C2DE0">
      <w:pPr>
        <w:pStyle w:val="BodyTextIndent"/>
        <w:numPr>
          <w:ilvl w:val="1"/>
          <w:numId w:val="12"/>
        </w:numPr>
        <w:spacing w:after="120"/>
      </w:pPr>
      <w:r>
        <w:t>Jautājumi, kas šeit nav atrunāti, tiek risināti saskaņā ar normatīvo aktu prasībām. Normatīvo aktu izmaiņu gadījumā Puses noslēdz atbilstošu vienošanos par grozījumiem.</w:t>
      </w:r>
    </w:p>
    <w:p w14:paraId="528753B5" w14:textId="77777777" w:rsidR="004D37F9" w:rsidRDefault="000C2DE0">
      <w:pPr>
        <w:pStyle w:val="BodyTextIndent"/>
        <w:numPr>
          <w:ilvl w:val="1"/>
          <w:numId w:val="12"/>
        </w:numPr>
        <w:spacing w:after="120"/>
      </w:pPr>
      <w:r>
        <w:t>Jebkuri Pušu paziņojumi, informācija tiek sūtīta uz šādām Pušu adresēm šādām Pušu kontaktpersonām:</w:t>
      </w:r>
    </w:p>
    <w:p w14:paraId="2CA32FCE" w14:textId="3A6FD0E0" w:rsidR="004D37F9" w:rsidRDefault="000C2DE0">
      <w:pPr>
        <w:tabs>
          <w:tab w:val="left" w:pos="4860"/>
        </w:tabs>
        <w:ind w:left="567"/>
        <w:jc w:val="both"/>
        <w:rPr>
          <w:b/>
          <w:bCs/>
        </w:rPr>
      </w:pPr>
      <w:r>
        <w:rPr>
          <w:b/>
          <w:bCs/>
        </w:rPr>
        <w:t>PSO:</w:t>
      </w:r>
      <w:r>
        <w:rPr>
          <w:b/>
          <w:bCs/>
        </w:rPr>
        <w:tab/>
      </w:r>
      <w:r w:rsidR="00661625">
        <w:rPr>
          <w:b/>
          <w:bCs/>
        </w:rPr>
        <w:t>Lietotājs</w:t>
      </w:r>
      <w:r>
        <w:rPr>
          <w:b/>
          <w:bCs/>
        </w:rPr>
        <w:t>:</w:t>
      </w:r>
      <w:r>
        <w:rPr>
          <w:b/>
          <w:bCs/>
        </w:rPr>
        <w:tab/>
      </w:r>
      <w:r>
        <w:rPr>
          <w:b/>
          <w:bCs/>
        </w:rPr>
        <w:tab/>
      </w:r>
    </w:p>
    <w:p w14:paraId="0B6DBEA4" w14:textId="78088ACC" w:rsidR="004D37F9" w:rsidRDefault="000C2DE0">
      <w:pPr>
        <w:tabs>
          <w:tab w:val="left" w:pos="4860"/>
        </w:tabs>
        <w:ind w:left="567"/>
        <w:jc w:val="both"/>
      </w:pPr>
      <w:r>
        <w:rPr>
          <w:rStyle w:val="PageNumber"/>
        </w:rPr>
        <w:t>AS "Augstsprieguma tīkls"</w:t>
      </w:r>
      <w:r>
        <w:rPr>
          <w:rStyle w:val="PageNumber"/>
        </w:rPr>
        <w:tab/>
      </w:r>
      <w:permStart w:id="771373544" w:edGrp="everyone"/>
      <w:r w:rsidR="00661625">
        <w:rPr>
          <w:rStyle w:val="PageNumber"/>
        </w:rPr>
        <w:t>[</w:t>
      </w:r>
      <w:r w:rsidR="00661625" w:rsidRPr="00661625">
        <w:rPr>
          <w:rStyle w:val="PageNumber"/>
          <w:color w:val="auto"/>
          <w:highlight w:val="yellow"/>
        </w:rPr>
        <w:t>komersanta nosaukums</w:t>
      </w:r>
      <w:r w:rsidR="00661625">
        <w:rPr>
          <w:rStyle w:val="PageNumber"/>
        </w:rPr>
        <w:t>]</w:t>
      </w:r>
      <w:r>
        <w:rPr>
          <w:rStyle w:val="PageNumber"/>
        </w:rPr>
        <w:t xml:space="preserve"> </w:t>
      </w:r>
      <w:permEnd w:id="771373544"/>
      <w:r>
        <w:rPr>
          <w:rStyle w:val="PageNumber"/>
        </w:rPr>
        <w:tab/>
        <w:t xml:space="preserve">  </w:t>
      </w:r>
    </w:p>
    <w:p w14:paraId="0C375407" w14:textId="352E7032" w:rsidR="004D37F9" w:rsidRDefault="000C2DE0">
      <w:pPr>
        <w:tabs>
          <w:tab w:val="left" w:pos="540"/>
          <w:tab w:val="left" w:pos="4860"/>
        </w:tabs>
        <w:ind w:left="4860" w:hanging="4860"/>
        <w:jc w:val="both"/>
      </w:pPr>
      <w:r>
        <w:rPr>
          <w:rStyle w:val="PageNumber"/>
        </w:rPr>
        <w:tab/>
        <w:t>Dārzciema iela 86, Rīga, LV-1073</w:t>
      </w:r>
      <w:r>
        <w:rPr>
          <w:rStyle w:val="PageNumber"/>
        </w:rPr>
        <w:tab/>
      </w:r>
      <w:permStart w:id="66067300" w:edGrp="everyone"/>
      <w:r w:rsidR="00661625">
        <w:rPr>
          <w:rStyle w:val="PageNumber"/>
        </w:rPr>
        <w:t>[</w:t>
      </w:r>
      <w:r w:rsidR="00661625" w:rsidRPr="00661625">
        <w:rPr>
          <w:rStyle w:val="PageNumber"/>
          <w:highlight w:val="yellow"/>
        </w:rPr>
        <w:t>komersanta adrese</w:t>
      </w:r>
      <w:r w:rsidR="00661625">
        <w:rPr>
          <w:rStyle w:val="PageNumber"/>
        </w:rPr>
        <w:t>]</w:t>
      </w:r>
      <w:r>
        <w:rPr>
          <w:rStyle w:val="PageNumber"/>
        </w:rPr>
        <w:t xml:space="preserve"> </w:t>
      </w:r>
      <w:permEnd w:id="66067300"/>
      <w:r>
        <w:rPr>
          <w:rStyle w:val="PageNumber"/>
        </w:rPr>
        <w:tab/>
      </w:r>
      <w:r>
        <w:rPr>
          <w:rStyle w:val="PageNumber"/>
        </w:rPr>
        <w:tab/>
      </w:r>
    </w:p>
    <w:p w14:paraId="419F37BB" w14:textId="72E7061B" w:rsidR="004D37F9" w:rsidRDefault="000C2DE0">
      <w:pPr>
        <w:tabs>
          <w:tab w:val="left" w:pos="540"/>
          <w:tab w:val="left" w:pos="4860"/>
        </w:tabs>
        <w:ind w:left="4320" w:hanging="4320"/>
        <w:jc w:val="both"/>
        <w:rPr>
          <w:shd w:val="clear" w:color="auto" w:fill="FFFFFF"/>
        </w:rPr>
      </w:pPr>
      <w:r>
        <w:rPr>
          <w:rStyle w:val="PageNumber"/>
        </w:rPr>
        <w:tab/>
      </w:r>
      <w:r>
        <w:rPr>
          <w:rStyle w:val="PageNumber"/>
        </w:rPr>
        <w:t>Attīstības departamenta vadītājam</w:t>
      </w:r>
      <w:r>
        <w:rPr>
          <w:rStyle w:val="PageNumber"/>
        </w:rPr>
        <w:tab/>
      </w:r>
      <w:r>
        <w:rPr>
          <w:rStyle w:val="PageNumber"/>
        </w:rPr>
        <w:tab/>
      </w:r>
      <w:permStart w:id="267995314" w:edGrp="everyone"/>
      <w:r w:rsidR="00661625">
        <w:rPr>
          <w:rStyle w:val="PageNumber"/>
        </w:rPr>
        <w:t>[</w:t>
      </w:r>
      <w:r w:rsidR="00661625" w:rsidRPr="00661625">
        <w:rPr>
          <w:rStyle w:val="PageNumber"/>
          <w:highlight w:val="yellow"/>
        </w:rPr>
        <w:t>komersanta kontaktpersona</w:t>
      </w:r>
      <w:r w:rsidR="00661625">
        <w:rPr>
          <w:rStyle w:val="PageNumber"/>
        </w:rPr>
        <w:t>]</w:t>
      </w:r>
      <w:permEnd w:id="267995314"/>
      <w:r>
        <w:rPr>
          <w:rStyle w:val="PageNumber"/>
        </w:rPr>
        <w:tab/>
      </w:r>
      <w:r>
        <w:rPr>
          <w:rStyle w:val="PageNumber"/>
        </w:rPr>
        <w:tab/>
      </w:r>
    </w:p>
    <w:p w14:paraId="1429DAB3" w14:textId="22E52EB9" w:rsidR="004D37F9" w:rsidRDefault="000C2DE0">
      <w:pPr>
        <w:tabs>
          <w:tab w:val="left" w:pos="540"/>
          <w:tab w:val="left" w:pos="4860"/>
        </w:tabs>
        <w:ind w:left="4320" w:hanging="4320"/>
        <w:jc w:val="both"/>
      </w:pPr>
      <w:r>
        <w:rPr>
          <w:rStyle w:val="PageNumber"/>
        </w:rPr>
        <w:tab/>
        <w:t xml:space="preserve">E-pasts: </w:t>
      </w:r>
      <w:hyperlink r:id="rId7" w:history="1">
        <w:r w:rsidR="004D37F9">
          <w:rPr>
            <w:rStyle w:val="Hyperlink0"/>
          </w:rPr>
          <w:t>ast@ast.lv</w:t>
        </w:r>
      </w:hyperlink>
      <w:r>
        <w:rPr>
          <w:rStyle w:val="PageNumber"/>
        </w:rPr>
        <w:tab/>
      </w:r>
      <w:r>
        <w:rPr>
          <w:rStyle w:val="PageNumber"/>
        </w:rPr>
        <w:tab/>
        <w:t xml:space="preserve">E-pasts: </w:t>
      </w:r>
      <w:permStart w:id="828011872" w:edGrp="everyone"/>
      <w:r w:rsidR="00661625">
        <w:t>[</w:t>
      </w:r>
      <w:r w:rsidR="00661625" w:rsidRPr="00661625">
        <w:rPr>
          <w:highlight w:val="yellow"/>
        </w:rPr>
        <w:t>komersanta e-pasts</w:t>
      </w:r>
      <w:r w:rsidR="00661625">
        <w:t>]</w:t>
      </w:r>
      <w:permEnd w:id="828011872"/>
    </w:p>
    <w:p w14:paraId="24B7CFBC" w14:textId="77777777" w:rsidR="004D37F9" w:rsidRDefault="000C2DE0">
      <w:pPr>
        <w:pStyle w:val="BodyTextIndent"/>
        <w:numPr>
          <w:ilvl w:val="1"/>
          <w:numId w:val="12"/>
        </w:numPr>
        <w:spacing w:before="120" w:after="120"/>
      </w:pPr>
      <w:r>
        <w:t>Puse nekavējoties rakstveidā paziņo otrai Pusei, ja mainījusies kāda no šīs Vienošanās 10.5. punktā minētā informācija.</w:t>
      </w:r>
    </w:p>
    <w:p w14:paraId="3AA91672" w14:textId="3CE5AA0A" w:rsidR="004D37F9" w:rsidRDefault="000C2DE0">
      <w:pPr>
        <w:pStyle w:val="BodyTextIndent"/>
        <w:numPr>
          <w:ilvl w:val="1"/>
          <w:numId w:val="12"/>
        </w:numPr>
        <w:spacing w:before="120" w:after="120"/>
      </w:pPr>
      <w:r>
        <w:t xml:space="preserve">Vienošanās ir parakstīta ar drošu elektronisku parakstu un satur laika zīmogu. </w:t>
      </w:r>
      <w:r w:rsidR="00661625">
        <w:t>LIETOTĀJS</w:t>
      </w:r>
      <w:r>
        <w:t xml:space="preserve"> ar drošu elektronisku parakstu parakstītu un laika zīmogu saturošu Vienošanos</w:t>
      </w:r>
      <w:r>
        <w:rPr>
          <w:color w:val="FF0000"/>
          <w:u w:color="FF0000"/>
        </w:rPr>
        <w:t xml:space="preserve"> </w:t>
      </w:r>
      <w:r>
        <w:t>pēc Vienošanās parakstīšanas nosūta uz PSO e-pasta adresi: ast@ast.lv</w:t>
      </w:r>
      <w:r>
        <w:rPr>
          <w:i/>
          <w:iCs/>
        </w:rPr>
        <w:t xml:space="preserve">. </w:t>
      </w:r>
      <w:r>
        <w:t xml:space="preserve">Vienošanās parakstīšanas datums ir pēdējā pievienotā droša elektroniskā paraksta un tā laika zīmoga datums. </w:t>
      </w:r>
    </w:p>
    <w:p w14:paraId="03CEE145" w14:textId="77777777" w:rsidR="004D37F9" w:rsidRDefault="000C2DE0">
      <w:pPr>
        <w:pStyle w:val="BodyTextIndent"/>
        <w:ind w:left="0"/>
        <w:rPr>
          <w:b/>
          <w:bCs/>
        </w:rPr>
      </w:pPr>
      <w:r>
        <w:rPr>
          <w:b/>
          <w:bCs/>
        </w:rPr>
        <w:t xml:space="preserve"> </w:t>
      </w:r>
    </w:p>
    <w:p w14:paraId="32A4BCFA" w14:textId="77777777" w:rsidR="004D37F9" w:rsidRDefault="000C2DE0">
      <w:pPr>
        <w:pStyle w:val="BodyTextIndent"/>
        <w:ind w:left="0"/>
        <w:rPr>
          <w:b/>
          <w:bCs/>
        </w:rPr>
      </w:pPr>
      <w:r>
        <w:rPr>
          <w:b/>
          <w:bCs/>
        </w:rPr>
        <w:t>Pušu juridiskās adreses, rekvizīti un paraksti:</w:t>
      </w:r>
    </w:p>
    <w:p w14:paraId="74F2A366" w14:textId="77777777" w:rsidR="004D37F9" w:rsidRDefault="004D37F9">
      <w:pPr>
        <w:pStyle w:val="BodyTextIndent"/>
        <w:ind w:left="0"/>
        <w:rPr>
          <w:b/>
          <w:bCs/>
        </w:rPr>
      </w:pPr>
    </w:p>
    <w:tbl>
      <w:tblPr>
        <w:tblW w:w="8720"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4360"/>
        <w:gridCol w:w="4360"/>
      </w:tblGrid>
      <w:tr w:rsidR="00385083" w14:paraId="1145CC36" w14:textId="77777777">
        <w:trPr>
          <w:trHeight w:val="5690"/>
        </w:trPr>
        <w:tc>
          <w:tcPr>
            <w:tcW w:w="4360" w:type="dxa"/>
            <w:tcBorders>
              <w:top w:val="nil"/>
              <w:left w:val="nil"/>
              <w:bottom w:val="nil"/>
              <w:right w:val="nil"/>
            </w:tcBorders>
            <w:tcMar>
              <w:top w:w="80" w:type="dxa"/>
              <w:left w:w="80" w:type="dxa"/>
              <w:bottom w:w="80" w:type="dxa"/>
              <w:right w:w="80" w:type="dxa"/>
            </w:tcMar>
          </w:tcPr>
          <w:p w14:paraId="1B73856E" w14:textId="77777777" w:rsidR="004D37F9" w:rsidRDefault="000C2DE0">
            <w:pPr>
              <w:pStyle w:val="BodyTextIndent"/>
              <w:ind w:left="0"/>
              <w:rPr>
                <w:b/>
                <w:bCs/>
              </w:rPr>
            </w:pPr>
            <w:r>
              <w:rPr>
                <w:b/>
                <w:bCs/>
              </w:rPr>
              <w:t>PSO:</w:t>
            </w:r>
          </w:p>
          <w:p w14:paraId="39D28CBA" w14:textId="77777777" w:rsidR="004D37F9" w:rsidRDefault="000C2DE0">
            <w:pPr>
              <w:pStyle w:val="BodyTextIndent"/>
              <w:ind w:left="0"/>
              <w:rPr>
                <w:b/>
                <w:bCs/>
              </w:rPr>
            </w:pPr>
            <w:r>
              <w:rPr>
                <w:b/>
                <w:bCs/>
              </w:rPr>
              <w:t>AS "Augstsprieguma tīkls"</w:t>
            </w:r>
          </w:p>
          <w:p w14:paraId="5D6D8526" w14:textId="77777777" w:rsidR="004D37F9" w:rsidRDefault="000C2DE0">
            <w:pPr>
              <w:pStyle w:val="BodyTextIndent"/>
              <w:ind w:left="0"/>
            </w:pPr>
            <w:r>
              <w:t>Vienotais reģistrācijas Nr. 40003575567</w:t>
            </w:r>
          </w:p>
          <w:p w14:paraId="4D99EAE1" w14:textId="77777777" w:rsidR="004D37F9" w:rsidRDefault="000C2DE0">
            <w:pPr>
              <w:pStyle w:val="BodyTextIndent"/>
              <w:ind w:left="0"/>
            </w:pPr>
            <w:r>
              <w:t>Dārzciema iela 86, Rīga, LV – 1073</w:t>
            </w:r>
          </w:p>
          <w:p w14:paraId="0BE632A7" w14:textId="77777777" w:rsidR="004D37F9" w:rsidRDefault="000C2DE0">
            <w:pPr>
              <w:pStyle w:val="BodyTextIndent"/>
              <w:ind w:left="0"/>
            </w:pPr>
            <w:r>
              <w:t>PVN maks. Nr. LV 40003575567</w:t>
            </w:r>
          </w:p>
          <w:p w14:paraId="1931F95A" w14:textId="77777777" w:rsidR="004D37F9" w:rsidRDefault="000C2DE0">
            <w:pPr>
              <w:pStyle w:val="BodyTextIndent"/>
              <w:ind w:left="0"/>
            </w:pPr>
            <w:r>
              <w:t>AS "SEB banka"</w:t>
            </w:r>
          </w:p>
          <w:p w14:paraId="2D37AC84" w14:textId="77777777" w:rsidR="004D37F9" w:rsidRDefault="000C2DE0">
            <w:pPr>
              <w:pStyle w:val="BodyTextIndent"/>
              <w:ind w:left="0"/>
            </w:pPr>
            <w:r>
              <w:t>SWIFT: UNLALV2X</w:t>
            </w:r>
          </w:p>
          <w:p w14:paraId="4BE20DFB" w14:textId="77777777" w:rsidR="004D37F9" w:rsidRDefault="000C2DE0">
            <w:pPr>
              <w:pStyle w:val="BodyTextIndent"/>
              <w:ind w:left="0"/>
            </w:pPr>
            <w:r>
              <w:t>Konta Nr. LV55UNLA0050000858505</w:t>
            </w:r>
          </w:p>
          <w:p w14:paraId="3A3F41B5" w14:textId="77777777" w:rsidR="004D37F9" w:rsidRDefault="000C2DE0">
            <w:pPr>
              <w:pStyle w:val="BodyTextIndent"/>
              <w:ind w:left="0"/>
            </w:pPr>
            <w:r>
              <w:t xml:space="preserve">E-pasts: </w:t>
            </w:r>
            <w:hyperlink r:id="rId8" w:history="1">
              <w:r w:rsidR="004D37F9">
                <w:rPr>
                  <w:rStyle w:val="Hyperlink1"/>
                  <w:rFonts w:eastAsia="Arial Unicode MS"/>
                </w:rPr>
                <w:t>ast@ast.lv</w:t>
              </w:r>
            </w:hyperlink>
          </w:p>
          <w:p w14:paraId="27C88955" w14:textId="77777777" w:rsidR="004D37F9" w:rsidRDefault="000C2DE0">
            <w:pPr>
              <w:pStyle w:val="BodyTextIndent"/>
              <w:ind w:left="0"/>
            </w:pPr>
            <w:r>
              <w:t>E-adreses kanāls:</w:t>
            </w:r>
          </w:p>
          <w:p w14:paraId="53494DC8" w14:textId="77777777" w:rsidR="004D37F9" w:rsidRDefault="004D37F9">
            <w:pPr>
              <w:pStyle w:val="BodyTextIndent"/>
              <w:ind w:left="0"/>
            </w:pPr>
          </w:p>
          <w:p w14:paraId="3E39CB92" w14:textId="03FB569B" w:rsidR="004D37F9" w:rsidRDefault="000C2DE0">
            <w:pPr>
              <w:pStyle w:val="BodyTextIndent"/>
              <w:ind w:left="0"/>
            </w:pPr>
            <w:r>
              <w:t xml:space="preserve">/Valdes </w:t>
            </w:r>
            <w:r w:rsidR="00CD2146">
              <w:t>priekšsēdētājs</w:t>
            </w:r>
            <w:r>
              <w:t>/</w:t>
            </w:r>
          </w:p>
          <w:p w14:paraId="4A4378AE" w14:textId="77777777" w:rsidR="004D37F9" w:rsidRDefault="000C2DE0">
            <w:pPr>
              <w:pStyle w:val="BodyTextIndent"/>
              <w:ind w:left="0"/>
            </w:pPr>
            <w:r>
              <w:t>/Valdes loceklis/</w:t>
            </w:r>
          </w:p>
          <w:p w14:paraId="1979807B" w14:textId="77777777" w:rsidR="004D37F9" w:rsidRDefault="004D37F9">
            <w:pPr>
              <w:pStyle w:val="BodyTextIndent"/>
            </w:pPr>
          </w:p>
          <w:p w14:paraId="6542BD48" w14:textId="725B0BF2" w:rsidR="004D37F9" w:rsidRDefault="004D37F9">
            <w:pPr>
              <w:pStyle w:val="BodyTextIndent"/>
              <w:ind w:left="0"/>
            </w:pPr>
          </w:p>
        </w:tc>
        <w:tc>
          <w:tcPr>
            <w:tcW w:w="4360" w:type="dxa"/>
            <w:tcBorders>
              <w:top w:val="nil"/>
              <w:left w:val="nil"/>
              <w:bottom w:val="nil"/>
              <w:right w:val="nil"/>
            </w:tcBorders>
            <w:tcMar>
              <w:top w:w="80" w:type="dxa"/>
              <w:left w:w="80" w:type="dxa"/>
              <w:bottom w:w="80" w:type="dxa"/>
              <w:right w:w="80" w:type="dxa"/>
            </w:tcMar>
          </w:tcPr>
          <w:p w14:paraId="4C6461C0" w14:textId="3DBEF3BB" w:rsidR="004D37F9" w:rsidRDefault="00661625">
            <w:pPr>
              <w:pStyle w:val="BodyTextIndent"/>
              <w:ind w:left="0"/>
              <w:rPr>
                <w:b/>
                <w:bCs/>
              </w:rPr>
            </w:pPr>
            <w:r>
              <w:rPr>
                <w:b/>
                <w:bCs/>
              </w:rPr>
              <w:t>LIETOTĀJS:</w:t>
            </w:r>
          </w:p>
          <w:p w14:paraId="4206E07C" w14:textId="481631C8" w:rsidR="004D37F9" w:rsidRDefault="00661625">
            <w:pPr>
              <w:tabs>
                <w:tab w:val="left" w:pos="4860"/>
              </w:tabs>
              <w:jc w:val="both"/>
              <w:rPr>
                <w:b/>
                <w:bCs/>
              </w:rPr>
            </w:pPr>
            <w:permStart w:id="883706192" w:edGrp="everyone"/>
            <w:r>
              <w:rPr>
                <w:b/>
                <w:bCs/>
              </w:rPr>
              <w:t>[</w:t>
            </w:r>
            <w:r w:rsidRPr="00661625">
              <w:rPr>
                <w:b/>
                <w:bCs/>
                <w:highlight w:val="yellow"/>
              </w:rPr>
              <w:t>Lietotāja rekvizīti</w:t>
            </w:r>
            <w:r>
              <w:rPr>
                <w:b/>
                <w:bCs/>
              </w:rPr>
              <w:t>]</w:t>
            </w:r>
          </w:p>
          <w:permEnd w:id="883706192"/>
          <w:p w14:paraId="2C09BCC0" w14:textId="6125A947" w:rsidR="004D37F9" w:rsidRDefault="000C2DE0">
            <w:pPr>
              <w:tabs>
                <w:tab w:val="left" w:pos="4860"/>
              </w:tabs>
              <w:jc w:val="both"/>
            </w:pPr>
            <w:r>
              <w:t xml:space="preserve"> </w:t>
            </w:r>
          </w:p>
          <w:p w14:paraId="0C9ACD19" w14:textId="77777777" w:rsidR="004D37F9" w:rsidRDefault="004D37F9">
            <w:pPr>
              <w:tabs>
                <w:tab w:val="left" w:pos="4860"/>
              </w:tabs>
              <w:jc w:val="both"/>
            </w:pPr>
          </w:p>
          <w:p w14:paraId="2AD8ABE1" w14:textId="77777777" w:rsidR="004D37F9" w:rsidRDefault="004D37F9">
            <w:pPr>
              <w:pStyle w:val="BodyTextIndent"/>
              <w:tabs>
                <w:tab w:val="left" w:pos="4860"/>
              </w:tabs>
              <w:ind w:left="0"/>
            </w:pPr>
          </w:p>
          <w:p w14:paraId="1EFBDFB3" w14:textId="77777777" w:rsidR="00661625" w:rsidRDefault="00661625">
            <w:pPr>
              <w:pStyle w:val="BodyTextIndent"/>
              <w:tabs>
                <w:tab w:val="left" w:pos="4860"/>
              </w:tabs>
              <w:ind w:left="0"/>
            </w:pPr>
          </w:p>
          <w:p w14:paraId="03373853" w14:textId="77777777" w:rsidR="00661625" w:rsidRDefault="00661625">
            <w:pPr>
              <w:pStyle w:val="BodyTextIndent"/>
              <w:tabs>
                <w:tab w:val="left" w:pos="4860"/>
              </w:tabs>
              <w:ind w:left="0"/>
            </w:pPr>
          </w:p>
          <w:p w14:paraId="43C0C36B" w14:textId="77777777" w:rsidR="00661625" w:rsidRDefault="00661625">
            <w:pPr>
              <w:pStyle w:val="BodyTextIndent"/>
              <w:tabs>
                <w:tab w:val="left" w:pos="4860"/>
              </w:tabs>
              <w:ind w:left="0"/>
            </w:pPr>
          </w:p>
          <w:p w14:paraId="3CD5D48D" w14:textId="77777777" w:rsidR="00661625" w:rsidRDefault="00661625">
            <w:pPr>
              <w:pStyle w:val="BodyTextIndent"/>
              <w:tabs>
                <w:tab w:val="left" w:pos="4860"/>
              </w:tabs>
              <w:ind w:left="0"/>
            </w:pPr>
          </w:p>
          <w:p w14:paraId="4BCF3FFD" w14:textId="77777777" w:rsidR="00661625" w:rsidRDefault="00661625">
            <w:pPr>
              <w:pStyle w:val="BodyTextIndent"/>
              <w:tabs>
                <w:tab w:val="left" w:pos="4860"/>
              </w:tabs>
              <w:ind w:left="0"/>
            </w:pPr>
          </w:p>
          <w:p w14:paraId="0E96DC1D" w14:textId="77777777" w:rsidR="00661625" w:rsidRDefault="00661625">
            <w:pPr>
              <w:pStyle w:val="BodyTextIndent"/>
              <w:tabs>
                <w:tab w:val="left" w:pos="4860"/>
              </w:tabs>
              <w:ind w:left="0"/>
            </w:pPr>
          </w:p>
          <w:p w14:paraId="145E2A87" w14:textId="45DA1241" w:rsidR="004D37F9" w:rsidRDefault="004D37F9">
            <w:pPr>
              <w:pStyle w:val="BodyTextIndent"/>
              <w:ind w:left="0"/>
            </w:pPr>
          </w:p>
          <w:p w14:paraId="7B922CEB" w14:textId="77777777" w:rsidR="004D37F9" w:rsidRDefault="004D37F9">
            <w:pPr>
              <w:pStyle w:val="BodyTextIndent"/>
            </w:pPr>
          </w:p>
          <w:p w14:paraId="6875FBB2" w14:textId="59FB1397" w:rsidR="004D37F9" w:rsidRDefault="004D37F9">
            <w:pPr>
              <w:pStyle w:val="BodyTextIndent"/>
              <w:tabs>
                <w:tab w:val="left" w:pos="4860"/>
              </w:tabs>
              <w:ind w:left="0"/>
            </w:pPr>
          </w:p>
        </w:tc>
      </w:tr>
    </w:tbl>
    <w:p w14:paraId="3DB7E05A" w14:textId="77777777" w:rsidR="004D37F9" w:rsidRDefault="004D37F9">
      <w:pPr>
        <w:pStyle w:val="BodyTextIndent"/>
        <w:widowControl w:val="0"/>
        <w:ind w:left="0"/>
        <w:rPr>
          <w:b/>
          <w:bCs/>
        </w:rPr>
      </w:pPr>
    </w:p>
    <w:p w14:paraId="5226A107" w14:textId="77777777" w:rsidR="004D37F9" w:rsidRDefault="004D37F9">
      <w:pPr>
        <w:pStyle w:val="BodyTextIndent"/>
        <w:ind w:left="0"/>
        <w:rPr>
          <w:b/>
          <w:bCs/>
        </w:rPr>
      </w:pPr>
    </w:p>
    <w:p w14:paraId="2EFC7C8F" w14:textId="29E64404" w:rsidR="004D37F9" w:rsidRDefault="00661625" w:rsidP="00661625">
      <w:pPr>
        <w:pStyle w:val="BodyTextIndent"/>
        <w:ind w:left="0"/>
        <w:jc w:val="center"/>
        <w:rPr>
          <w:b/>
          <w:bCs/>
        </w:rPr>
      </w:pPr>
      <w:r>
        <w:rPr>
          <w:i/>
          <w:iCs/>
        </w:rPr>
        <w:t>(dokuments parakstīts ar elektronisko parakstu, parakstītāja Vārds un Uzvārds ir norādīts elektroniskajā parakstā)</w:t>
      </w:r>
    </w:p>
    <w:p w14:paraId="27434CD2" w14:textId="77777777" w:rsidR="004D37F9" w:rsidRDefault="004D37F9">
      <w:pPr>
        <w:pStyle w:val="BodyTextIndent"/>
        <w:ind w:left="0"/>
        <w:rPr>
          <w:b/>
          <w:bCs/>
        </w:rPr>
      </w:pPr>
    </w:p>
    <w:p w14:paraId="5BE6EA15" w14:textId="77777777" w:rsidR="004D37F9" w:rsidRDefault="004D37F9">
      <w:pPr>
        <w:pStyle w:val="BodyTextIndent"/>
        <w:ind w:left="0"/>
        <w:rPr>
          <w:b/>
          <w:bCs/>
        </w:rPr>
      </w:pPr>
    </w:p>
    <w:p w14:paraId="44AF00A5" w14:textId="77777777" w:rsidR="004D37F9" w:rsidRDefault="004D37F9">
      <w:pPr>
        <w:pStyle w:val="BodyTextIndent"/>
        <w:ind w:left="0"/>
        <w:rPr>
          <w:b/>
          <w:bCs/>
        </w:rPr>
      </w:pPr>
    </w:p>
    <w:p w14:paraId="08B88BB1" w14:textId="77777777" w:rsidR="004D37F9" w:rsidRDefault="004D37F9">
      <w:pPr>
        <w:pStyle w:val="BodyTextIndent"/>
        <w:ind w:left="0"/>
      </w:pPr>
    </w:p>
    <w:sectPr w:rsidR="004D37F9">
      <w:footerReference w:type="default" r:id="rId9"/>
      <w:footerReference w:type="first" r:id="rId10"/>
      <w:pgSz w:w="11900" w:h="16840"/>
      <w:pgMar w:top="1134" w:right="1134" w:bottom="1134" w:left="1701"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FFF1F5" w14:textId="77777777" w:rsidR="002E4A77" w:rsidRDefault="002E4A77">
      <w:r>
        <w:separator/>
      </w:r>
    </w:p>
  </w:endnote>
  <w:endnote w:type="continuationSeparator" w:id="0">
    <w:p w14:paraId="45386D8F" w14:textId="77777777" w:rsidR="002E4A77" w:rsidRDefault="002E4A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Helvetica Neue">
    <w:altName w:val="Arial"/>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3F5688" w14:textId="77777777" w:rsidR="004D37F9" w:rsidRDefault="000C2DE0">
    <w:pPr>
      <w:pStyle w:val="Footer"/>
      <w:jc w:val="center"/>
    </w:pPr>
    <w:r>
      <w:fldChar w:fldCharType="begin"/>
    </w:r>
    <w:r>
      <w:instrText xml:space="preserve"> PAGE </w:instrText>
    </w:r>
    <w:r>
      <w:fldChar w:fldCharType="separate"/>
    </w:r>
    <w:r>
      <w:rPr>
        <w:noProof/>
      </w:rPr>
      <w:t>1</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58C3AA" w14:textId="77777777" w:rsidR="00385083" w:rsidRDefault="000C2DE0">
    <w:pPr>
      <w:jc w:val="center"/>
    </w:pPr>
    <w:r>
      <w:rPr>
        <w:rFonts w:eastAsia="Times New Roman" w:cs="Times New Roman"/>
        <w:sz w:val="20"/>
      </w:rPr>
      <w:t>Šis dokuments ir parakstīts ar drošu elektronisko parakstu un satur laika zīmogu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269279" w14:textId="77777777" w:rsidR="002E4A77" w:rsidRDefault="002E4A77">
      <w:r>
        <w:separator/>
      </w:r>
    </w:p>
  </w:footnote>
  <w:footnote w:type="continuationSeparator" w:id="0">
    <w:p w14:paraId="2C280229" w14:textId="77777777" w:rsidR="002E4A77" w:rsidRDefault="002E4A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90000A"/>
    <w:multiLevelType w:val="hybridMultilevel"/>
    <w:tmpl w:val="4BD8297A"/>
    <w:lvl w:ilvl="0" w:tplc="82CEB5E6">
      <w:start w:val="1"/>
      <w:numFmt w:val="lowerLetter"/>
      <w:lvlText w:val="%1."/>
      <w:lvlJc w:val="left"/>
      <w:pPr>
        <w:ind w:left="720" w:hanging="360"/>
      </w:pPr>
      <w:rPr>
        <w:rFonts w:hint="default"/>
        <w:caps w:val="0"/>
        <w:strike w:val="0"/>
        <w:dstrike w:val="0"/>
        <w:vanish w:val="0"/>
        <w:vertAlign w:val="baseline"/>
      </w:rPr>
    </w:lvl>
    <w:lvl w:ilvl="1" w:tplc="04260019" w:tentative="1">
      <w:start w:val="1"/>
      <w:numFmt w:val="lowerLetter"/>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256D7685"/>
    <w:multiLevelType w:val="multilevel"/>
    <w:tmpl w:val="14DA4220"/>
    <w:numStyleLink w:val="ImportedStyle3"/>
  </w:abstractNum>
  <w:abstractNum w:abstractNumId="2" w15:restartNumberingAfterBreak="0">
    <w:nsid w:val="331620FC"/>
    <w:multiLevelType w:val="multilevel"/>
    <w:tmpl w:val="14DA4220"/>
    <w:styleLink w:val="ImportedStyle3"/>
    <w:lvl w:ilvl="0">
      <w:start w:val="1"/>
      <w:numFmt w:val="decimal"/>
      <w:lvlText w:val="%1."/>
      <w:lvlJc w:val="left"/>
      <w:pPr>
        <w:ind w:left="425" w:hanging="425"/>
      </w:pPr>
      <w:rPr>
        <w:rFonts w:hAnsi="Arial Unicode MS"/>
        <w:b/>
        <w:bCs/>
        <w:caps w:val="0"/>
        <w:smallCaps w:val="0"/>
        <w:strike w:val="0"/>
        <w:dstrike w:val="0"/>
        <w:outline w:val="0"/>
        <w:emboss w:val="0"/>
        <w:imprint w:val="0"/>
        <w:spacing w:val="0"/>
        <w:w w:val="100"/>
        <w:kern w:val="0"/>
        <w:position w:val="0"/>
        <w:highlight w:val="none"/>
        <w:vertAlign w:val="baseline"/>
      </w:rPr>
    </w:lvl>
    <w:lvl w:ilvl="1">
      <w:start w:val="1"/>
      <w:numFmt w:val="decimal"/>
      <w:lvlText w:val="%1.%2."/>
      <w:lvlJc w:val="left"/>
      <w:pPr>
        <w:ind w:left="397" w:hanging="397"/>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suff w:val="nothing"/>
      <w:lvlText w:val="%1.%2.%3."/>
      <w:lvlJc w:val="left"/>
      <w:pPr>
        <w:ind w:left="964" w:hanging="567"/>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nothing"/>
      <w:lvlText w:val="%1.%2.%3.%4."/>
      <w:lvlJc w:val="left"/>
      <w:pPr>
        <w:ind w:left="1684" w:hanging="927"/>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1.%2.%3.%4.%5."/>
      <w:lvlJc w:val="left"/>
      <w:pPr>
        <w:ind w:left="1684" w:hanging="567"/>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1.%2.%3.%4.%5.%6."/>
      <w:lvlJc w:val="left"/>
      <w:pPr>
        <w:ind w:left="2404" w:hanging="927"/>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1.%2.%3.%4.%5.%6.%7."/>
      <w:lvlJc w:val="left"/>
      <w:pPr>
        <w:ind w:left="2404" w:hanging="567"/>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1.%2.%3.%4.%5.%6.%7.%8."/>
      <w:lvlJc w:val="left"/>
      <w:pPr>
        <w:ind w:left="3124" w:hanging="927"/>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1.%2.%3.%4.%5.%6.%7.%8.%9."/>
      <w:lvlJc w:val="left"/>
      <w:pPr>
        <w:ind w:left="3124" w:hanging="567"/>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36A0690C"/>
    <w:multiLevelType w:val="multilevel"/>
    <w:tmpl w:val="0426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3DF05CFB"/>
    <w:multiLevelType w:val="hybridMultilevel"/>
    <w:tmpl w:val="324AA7C2"/>
    <w:numStyleLink w:val="ImportedStyle2"/>
  </w:abstractNum>
  <w:abstractNum w:abstractNumId="5" w15:restartNumberingAfterBreak="0">
    <w:nsid w:val="51382647"/>
    <w:multiLevelType w:val="hybridMultilevel"/>
    <w:tmpl w:val="324AA7C2"/>
    <w:styleLink w:val="ImportedStyle2"/>
    <w:lvl w:ilvl="0" w:tplc="E264B482">
      <w:start w:val="1"/>
      <w:numFmt w:val="bullet"/>
      <w:lvlText w:val="-"/>
      <w:lvlJc w:val="left"/>
      <w:pPr>
        <w:ind w:left="397" w:hanging="397"/>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tplc="87207D68">
      <w:start w:val="1"/>
      <w:numFmt w:val="bullet"/>
      <w:lvlText w:val="o"/>
      <w:lvlJc w:val="left"/>
      <w:pPr>
        <w:ind w:left="1117" w:hanging="397"/>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tplc="9342D442">
      <w:start w:val="1"/>
      <w:numFmt w:val="bullet"/>
      <w:lvlText w:val="▪"/>
      <w:lvlJc w:val="left"/>
      <w:pPr>
        <w:ind w:left="1837" w:hanging="397"/>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tplc="8EB64E34">
      <w:start w:val="1"/>
      <w:numFmt w:val="bullet"/>
      <w:lvlText w:val="•"/>
      <w:lvlJc w:val="left"/>
      <w:pPr>
        <w:ind w:left="2557" w:hanging="397"/>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tplc="AA888CA4">
      <w:start w:val="1"/>
      <w:numFmt w:val="bullet"/>
      <w:lvlText w:val="o"/>
      <w:lvlJc w:val="left"/>
      <w:pPr>
        <w:ind w:left="3277" w:hanging="397"/>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5" w:tplc="D720A1EA">
      <w:start w:val="1"/>
      <w:numFmt w:val="bullet"/>
      <w:lvlText w:val="▪"/>
      <w:lvlJc w:val="left"/>
      <w:pPr>
        <w:ind w:left="3997" w:hanging="397"/>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6" w:tplc="00E6B58A">
      <w:start w:val="1"/>
      <w:numFmt w:val="bullet"/>
      <w:lvlText w:val="•"/>
      <w:lvlJc w:val="left"/>
      <w:pPr>
        <w:ind w:left="4717" w:hanging="397"/>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7" w:tplc="EF5415E4">
      <w:start w:val="1"/>
      <w:numFmt w:val="bullet"/>
      <w:lvlText w:val="o"/>
      <w:lvlJc w:val="left"/>
      <w:pPr>
        <w:ind w:left="5437" w:hanging="397"/>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8" w:tplc="478AF86C">
      <w:start w:val="1"/>
      <w:numFmt w:val="bullet"/>
      <w:lvlText w:val="▪"/>
      <w:lvlJc w:val="left"/>
      <w:pPr>
        <w:ind w:left="6157" w:hanging="397"/>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6" w15:restartNumberingAfterBreak="0">
    <w:nsid w:val="547F4B5B"/>
    <w:multiLevelType w:val="multilevel"/>
    <w:tmpl w:val="F7729B26"/>
    <w:lvl w:ilvl="0">
      <w:start w:val="1"/>
      <w:numFmt w:val="decimal"/>
      <w:lvlText w:val="%1."/>
      <w:lvlJc w:val="left"/>
      <w:pPr>
        <w:ind w:left="425" w:hanging="425"/>
      </w:pPr>
      <w:rPr>
        <w:rFonts w:hAnsi="Arial Unicode MS"/>
        <w:b/>
        <w:bC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ind w:left="360" w:hanging="360"/>
      </w:pPr>
    </w:lvl>
    <w:lvl w:ilvl="2">
      <w:start w:val="1"/>
      <w:numFmt w:val="decimal"/>
      <w:suff w:val="nothing"/>
      <w:lvlText w:val="%1.%2.%3."/>
      <w:lvlJc w:val="left"/>
      <w:pPr>
        <w:ind w:left="964" w:hanging="567"/>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nothing"/>
      <w:lvlText w:val="%1.%2.%3.%4."/>
      <w:lvlJc w:val="left"/>
      <w:pPr>
        <w:ind w:left="1684" w:hanging="927"/>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1.%2.%3.%4.%5."/>
      <w:lvlJc w:val="left"/>
      <w:pPr>
        <w:ind w:left="1684" w:hanging="567"/>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1.%2.%3.%4.%5.%6."/>
      <w:lvlJc w:val="left"/>
      <w:pPr>
        <w:ind w:left="2404" w:hanging="927"/>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1.%2.%3.%4.%5.%6.%7."/>
      <w:lvlJc w:val="left"/>
      <w:pPr>
        <w:ind w:left="2404" w:hanging="567"/>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1.%2.%3.%4.%5.%6.%7.%8."/>
      <w:lvlJc w:val="left"/>
      <w:pPr>
        <w:ind w:left="3124" w:hanging="927"/>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1.%2.%3.%4.%5.%6.%7.%8.%9."/>
      <w:lvlJc w:val="left"/>
      <w:pPr>
        <w:ind w:left="3124" w:hanging="567"/>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7" w15:restartNumberingAfterBreak="0">
    <w:nsid w:val="56BC3598"/>
    <w:multiLevelType w:val="multilevel"/>
    <w:tmpl w:val="59B26AFE"/>
    <w:lvl w:ilvl="0">
      <w:start w:val="1"/>
      <w:numFmt w:val="decimal"/>
      <w:lvlText w:val="%1."/>
      <w:lvlJc w:val="left"/>
      <w:pPr>
        <w:ind w:left="425" w:hanging="425"/>
      </w:pPr>
      <w:rPr>
        <w:rFonts w:hAnsi="Arial Unicode MS"/>
        <w:b/>
        <w:bCs/>
        <w:caps w:val="0"/>
        <w:smallCaps w:val="0"/>
        <w:strike w:val="0"/>
        <w:dstrike w:val="0"/>
        <w:outline w:val="0"/>
        <w:emboss w:val="0"/>
        <w:imprint w:val="0"/>
        <w:spacing w:val="0"/>
        <w:w w:val="100"/>
        <w:kern w:val="0"/>
        <w:position w:val="0"/>
        <w:highlight w:val="none"/>
        <w:vertAlign w:val="baseline"/>
      </w:rPr>
    </w:lvl>
    <w:lvl w:ilvl="1">
      <w:start w:val="1"/>
      <w:numFmt w:val="lowerLetter"/>
      <w:lvlText w:val="%2."/>
      <w:lvlJc w:val="left"/>
      <w:pPr>
        <w:ind w:left="360" w:hanging="360"/>
      </w:pPr>
      <w:rPr>
        <w:rFonts w:hint="default"/>
        <w:caps w:val="0"/>
        <w:strike w:val="0"/>
        <w:dstrike w:val="0"/>
        <w:vanish w:val="0"/>
        <w:vertAlign w:val="baseline"/>
      </w:rPr>
    </w:lvl>
    <w:lvl w:ilvl="2">
      <w:start w:val="1"/>
      <w:numFmt w:val="decimal"/>
      <w:suff w:val="nothing"/>
      <w:lvlText w:val="%1.%2.%3."/>
      <w:lvlJc w:val="left"/>
      <w:pPr>
        <w:ind w:left="964" w:hanging="567"/>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nothing"/>
      <w:lvlText w:val="%1.%2.%3.%4."/>
      <w:lvlJc w:val="left"/>
      <w:pPr>
        <w:ind w:left="1684" w:hanging="927"/>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1.%2.%3.%4.%5."/>
      <w:lvlJc w:val="left"/>
      <w:pPr>
        <w:ind w:left="1684" w:hanging="567"/>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1.%2.%3.%4.%5.%6."/>
      <w:lvlJc w:val="left"/>
      <w:pPr>
        <w:ind w:left="2404" w:hanging="927"/>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1.%2.%3.%4.%5.%6.%7."/>
      <w:lvlJc w:val="left"/>
      <w:pPr>
        <w:ind w:left="2404" w:hanging="567"/>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1.%2.%3.%4.%5.%6.%7.%8."/>
      <w:lvlJc w:val="left"/>
      <w:pPr>
        <w:ind w:left="3124" w:hanging="927"/>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1.%2.%3.%4.%5.%6.%7.%8.%9."/>
      <w:lvlJc w:val="left"/>
      <w:pPr>
        <w:ind w:left="3124" w:hanging="567"/>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8" w15:restartNumberingAfterBreak="0">
    <w:nsid w:val="65507EFE"/>
    <w:multiLevelType w:val="multilevel"/>
    <w:tmpl w:val="10A845BC"/>
    <w:lvl w:ilvl="0">
      <w:start w:val="1"/>
      <w:numFmt w:val="decimal"/>
      <w:lvlText w:val="%1."/>
      <w:lvlJc w:val="left"/>
      <w:pPr>
        <w:ind w:left="425" w:hanging="425"/>
      </w:pPr>
      <w:rPr>
        <w:rFonts w:hAnsi="Arial Unicode MS"/>
        <w:b/>
        <w:bC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ind w:left="360" w:hanging="360"/>
      </w:pPr>
    </w:lvl>
    <w:lvl w:ilvl="2">
      <w:start w:val="1"/>
      <w:numFmt w:val="decimal"/>
      <w:suff w:val="nothing"/>
      <w:lvlText w:val="%1.%2.%3."/>
      <w:lvlJc w:val="left"/>
      <w:pPr>
        <w:ind w:left="964" w:hanging="567"/>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nothing"/>
      <w:lvlText w:val="%1.%2.%3.%4."/>
      <w:lvlJc w:val="left"/>
      <w:pPr>
        <w:ind w:left="1684" w:hanging="927"/>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1.%2.%3.%4.%5."/>
      <w:lvlJc w:val="left"/>
      <w:pPr>
        <w:ind w:left="1684" w:hanging="567"/>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1.%2.%3.%4.%5.%6."/>
      <w:lvlJc w:val="left"/>
      <w:pPr>
        <w:ind w:left="2404" w:hanging="927"/>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1.%2.%3.%4.%5.%6.%7."/>
      <w:lvlJc w:val="left"/>
      <w:pPr>
        <w:ind w:left="2404" w:hanging="567"/>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1.%2.%3.%4.%5.%6.%7.%8."/>
      <w:lvlJc w:val="left"/>
      <w:pPr>
        <w:ind w:left="3124" w:hanging="927"/>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1.%2.%3.%4.%5.%6.%7.%8.%9."/>
      <w:lvlJc w:val="left"/>
      <w:pPr>
        <w:ind w:left="3124" w:hanging="567"/>
      </w:pPr>
      <w:rPr>
        <w:rFonts w:hAnsi="Arial Unicode MS"/>
        <w:caps w:val="0"/>
        <w:smallCaps w:val="0"/>
        <w:strike w:val="0"/>
        <w:dstrike w:val="0"/>
        <w:outline w:val="0"/>
        <w:emboss w:val="0"/>
        <w:imprint w:val="0"/>
        <w:spacing w:val="0"/>
        <w:w w:val="100"/>
        <w:kern w:val="0"/>
        <w:position w:val="0"/>
        <w:highlight w:val="none"/>
        <w:vertAlign w:val="baseline"/>
      </w:rPr>
    </w:lvl>
  </w:abstractNum>
  <w:num w:numId="1" w16cid:durableId="1658420197">
    <w:abstractNumId w:val="5"/>
  </w:num>
  <w:num w:numId="2" w16cid:durableId="1532188839">
    <w:abstractNumId w:val="4"/>
  </w:num>
  <w:num w:numId="3" w16cid:durableId="194780808">
    <w:abstractNumId w:val="2"/>
  </w:num>
  <w:num w:numId="4" w16cid:durableId="259801069">
    <w:abstractNumId w:val="1"/>
  </w:num>
  <w:num w:numId="5" w16cid:durableId="238560728">
    <w:abstractNumId w:val="1"/>
    <w:lvlOverride w:ilvl="0">
      <w:lvl w:ilvl="0">
        <w:start w:val="1"/>
        <w:numFmt w:val="decimal"/>
        <w:lvlText w:val="%1."/>
        <w:lvlJc w:val="left"/>
        <w:pPr>
          <w:ind w:left="360" w:hanging="360"/>
        </w:pPr>
      </w:lvl>
    </w:lvlOverride>
    <w:lvlOverride w:ilvl="1">
      <w:lvl w:ilvl="1">
        <w:start w:val="1"/>
        <w:numFmt w:val="decimal"/>
        <w:lvlText w:val="%1.%2."/>
        <w:lvlJc w:val="left"/>
        <w:pPr>
          <w:ind w:left="792" w:hanging="432"/>
        </w:pPr>
      </w:lvl>
    </w:lvlOverride>
    <w:lvlOverride w:ilvl="2">
      <w:lvl w:ilvl="2">
        <w:start w:val="1"/>
        <w:numFmt w:val="decimal"/>
        <w:lvlText w:val="%1.%2.%3."/>
        <w:lvlJc w:val="left"/>
        <w:pPr>
          <w:ind w:left="1224" w:hanging="504"/>
        </w:pPr>
      </w:lvl>
    </w:lvlOverride>
    <w:lvlOverride w:ilvl="3">
      <w:lvl w:ilvl="3">
        <w:start w:val="1"/>
        <w:numFmt w:val="decimal"/>
        <w:lvlText w:val="%1.%2.%3.%4."/>
        <w:lvlJc w:val="left"/>
        <w:pPr>
          <w:ind w:left="1728"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6" w16cid:durableId="640157888">
    <w:abstractNumId w:val="1"/>
    <w:lvlOverride w:ilvl="0">
      <w:lvl w:ilvl="0">
        <w:start w:val="1"/>
        <w:numFmt w:val="decimal"/>
        <w:lvlText w:val="%1."/>
        <w:lvlJc w:val="left"/>
        <w:pPr>
          <w:ind w:left="357" w:hanging="357"/>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lvlText w:val="%1.%2."/>
        <w:lvlJc w:val="left"/>
        <w:pPr>
          <w:ind w:left="397" w:hanging="39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suff w:val="nothing"/>
        <w:lvlText w:val="%1.%2.%3."/>
        <w:lvlJc w:val="left"/>
        <w:pPr>
          <w:ind w:left="964" w:hanging="56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nothing"/>
        <w:lvlText w:val="%1.%2.%3.%4."/>
        <w:lvlJc w:val="left"/>
        <w:pPr>
          <w:ind w:left="1684" w:hanging="92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nothing"/>
        <w:lvlText w:val="%1.%2.%3.%4.%5."/>
        <w:lvlJc w:val="left"/>
        <w:pPr>
          <w:ind w:left="1684" w:hanging="56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nothing"/>
        <w:lvlText w:val="%1.%2.%3.%4.%5.%6."/>
        <w:lvlJc w:val="left"/>
        <w:pPr>
          <w:ind w:left="2404" w:hanging="92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nothing"/>
        <w:lvlText w:val="%1.%2.%3.%4.%5.%6.%7."/>
        <w:lvlJc w:val="left"/>
        <w:pPr>
          <w:ind w:left="2404" w:hanging="56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nothing"/>
        <w:lvlText w:val="%1.%2.%3.%4.%5.%6.%7.%8."/>
        <w:lvlJc w:val="left"/>
        <w:pPr>
          <w:ind w:left="3124" w:hanging="92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nothing"/>
        <w:lvlText w:val="%1.%2.%3.%4.%5.%6.%7.%8.%9."/>
        <w:lvlJc w:val="left"/>
        <w:pPr>
          <w:ind w:left="3124" w:hanging="567"/>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7" w16cid:durableId="89468029">
    <w:abstractNumId w:val="1"/>
    <w:lvlOverride w:ilvl="0">
      <w:lvl w:ilvl="0">
        <w:start w:val="1"/>
        <w:numFmt w:val="decimal"/>
        <w:lvlText w:val="%1."/>
        <w:lvlJc w:val="left"/>
        <w:pPr>
          <w:ind w:left="357" w:hanging="357"/>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lvlText w:val="%1.%2."/>
        <w:lvlJc w:val="left"/>
        <w:pPr>
          <w:ind w:left="432" w:hanging="43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suff w:val="nothing"/>
        <w:lvlText w:val="%1.%2.%3."/>
        <w:lvlJc w:val="left"/>
        <w:pPr>
          <w:ind w:left="964" w:hanging="56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nothing"/>
        <w:lvlText w:val="%1.%2.%3.%4."/>
        <w:lvlJc w:val="left"/>
        <w:pPr>
          <w:ind w:left="1684" w:hanging="92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nothing"/>
        <w:lvlText w:val="%1.%2.%3.%4.%5."/>
        <w:lvlJc w:val="left"/>
        <w:pPr>
          <w:ind w:left="1684" w:hanging="56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nothing"/>
        <w:lvlText w:val="%1.%2.%3.%4.%5.%6."/>
        <w:lvlJc w:val="left"/>
        <w:pPr>
          <w:ind w:left="2404" w:hanging="92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nothing"/>
        <w:lvlText w:val="%1.%2.%3.%4.%5.%6.%7."/>
        <w:lvlJc w:val="left"/>
        <w:pPr>
          <w:ind w:left="2404" w:hanging="56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nothing"/>
        <w:lvlText w:val="%1.%2.%3.%4.%5.%6.%7.%8."/>
        <w:lvlJc w:val="left"/>
        <w:pPr>
          <w:ind w:left="3124" w:hanging="92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nothing"/>
        <w:lvlText w:val="%1.%2.%3.%4.%5.%6.%7.%8.%9."/>
        <w:lvlJc w:val="left"/>
        <w:pPr>
          <w:ind w:left="3124" w:hanging="567"/>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8" w16cid:durableId="1164586670">
    <w:abstractNumId w:val="1"/>
    <w:lvlOverride w:ilvl="0">
      <w:lvl w:ilvl="0">
        <w:start w:val="1"/>
        <w:numFmt w:val="decimal"/>
        <w:lvlText w:val="%1."/>
        <w:lvlJc w:val="left"/>
        <w:pPr>
          <w:ind w:left="357" w:hanging="357"/>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lvlText w:val="%1.%2."/>
        <w:lvlJc w:val="left"/>
        <w:pPr>
          <w:ind w:left="397" w:hanging="39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suff w:val="nothing"/>
        <w:lvlText w:val="%1.%2.%3."/>
        <w:lvlJc w:val="left"/>
        <w:pPr>
          <w:ind w:left="1224" w:hanging="504"/>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nothing"/>
        <w:lvlText w:val="%1.%2.%3.%4."/>
        <w:lvlJc w:val="left"/>
        <w:pPr>
          <w:ind w:left="144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nothing"/>
        <w:lvlText w:val="%1.%2.%3.%4.%5."/>
        <w:lvlJc w:val="left"/>
        <w:pPr>
          <w:ind w:left="2160" w:hanging="72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nothing"/>
        <w:lvlText w:val="%1.%2.%3.%4.%5.%6."/>
        <w:lvlJc w:val="left"/>
        <w:pPr>
          <w:ind w:left="216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nothing"/>
        <w:lvlText w:val="%1.%2.%3.%4.%5.%6.%7."/>
        <w:lvlJc w:val="left"/>
        <w:pPr>
          <w:ind w:left="2880" w:hanging="72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nothing"/>
        <w:lvlText w:val="%1.%2.%3.%4.%5.%6.%7.%8."/>
        <w:lvlJc w:val="left"/>
        <w:pPr>
          <w:ind w:left="288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nothing"/>
        <w:lvlText w:val="%1.%2.%3.%4.%5.%6.%7.%8.%9."/>
        <w:lvlJc w:val="left"/>
        <w:pPr>
          <w:ind w:left="3600" w:hanging="720"/>
        </w:pPr>
        <w:rPr>
          <w:rFonts w:hAnsi="Arial Unicode MS"/>
          <w:b/>
          <w:bCs/>
          <w:caps w:val="0"/>
          <w:smallCaps w:val="0"/>
          <w:strike w:val="0"/>
          <w:dstrike w:val="0"/>
          <w:outline w:val="0"/>
          <w:emboss w:val="0"/>
          <w:imprint w:val="0"/>
          <w:spacing w:val="0"/>
          <w:w w:val="100"/>
          <w:kern w:val="0"/>
          <w:position w:val="0"/>
          <w:highlight w:val="none"/>
          <w:vertAlign w:val="baseline"/>
        </w:rPr>
      </w:lvl>
    </w:lvlOverride>
  </w:num>
  <w:num w:numId="9" w16cid:durableId="734283729">
    <w:abstractNumId w:val="1"/>
    <w:lvlOverride w:ilvl="0">
      <w:lvl w:ilvl="0">
        <w:start w:val="1"/>
        <w:numFmt w:val="decimal"/>
        <w:lvlText w:val="%1."/>
        <w:lvlJc w:val="left"/>
        <w:pPr>
          <w:ind w:left="357" w:hanging="357"/>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lvlText w:val="%1.%2."/>
        <w:lvlJc w:val="left"/>
        <w:pPr>
          <w:ind w:left="397" w:hanging="39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lvlText w:val="%1.%2.%3."/>
        <w:lvlJc w:val="left"/>
        <w:pPr>
          <w:ind w:left="1418" w:hanging="70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nothing"/>
        <w:lvlText w:val="%1.%2.%3.%4."/>
        <w:lvlJc w:val="left"/>
        <w:pPr>
          <w:ind w:left="1440" w:hanging="37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nothing"/>
        <w:lvlText w:val="%1.%2.%3.%4.%5."/>
        <w:lvlJc w:val="left"/>
        <w:pPr>
          <w:ind w:left="2160" w:hanging="73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nothing"/>
        <w:lvlText w:val="%1.%2.%3.%4.%5.%6."/>
        <w:lvlJc w:val="left"/>
        <w:pPr>
          <w:ind w:left="2160" w:hanging="37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nothing"/>
        <w:lvlText w:val="%1.%2.%3.%4.%5.%6.%7."/>
        <w:lvlJc w:val="left"/>
        <w:pPr>
          <w:ind w:left="2880" w:hanging="73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nothing"/>
        <w:lvlText w:val="%1.%2.%3.%4.%5.%6.%7.%8."/>
        <w:lvlJc w:val="left"/>
        <w:pPr>
          <w:ind w:left="2880" w:hanging="37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nothing"/>
        <w:lvlText w:val="%1.%2.%3.%4.%5.%6.%7.%8.%9."/>
        <w:lvlJc w:val="left"/>
        <w:pPr>
          <w:ind w:left="3600" w:hanging="731"/>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0" w16cid:durableId="2062903960">
    <w:abstractNumId w:val="1"/>
    <w:lvlOverride w:ilvl="0">
      <w:lvl w:ilvl="0">
        <w:start w:val="1"/>
        <w:numFmt w:val="decimal"/>
        <w:lvlText w:val="%1."/>
        <w:lvlJc w:val="left"/>
        <w:pPr>
          <w:ind w:left="425" w:hanging="425"/>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lvlText w:val="%1.%2."/>
        <w:lvlJc w:val="left"/>
        <w:pPr>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suff w:val="nothing"/>
        <w:lvlText w:val="%1.%2.%3."/>
        <w:lvlJc w:val="left"/>
        <w:pPr>
          <w:ind w:left="1224" w:hanging="79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nothing"/>
        <w:lvlText w:val="%1.%2.%3.%4."/>
        <w:lvlJc w:val="left"/>
        <w:pPr>
          <w:ind w:left="1944" w:hanging="115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nothing"/>
        <w:lvlText w:val="%1.%2.%3.%4.%5."/>
        <w:lvlJc w:val="left"/>
        <w:pPr>
          <w:ind w:left="1944" w:hanging="79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nothing"/>
        <w:lvlText w:val="%1.%2.%3.%4.%5.%6."/>
        <w:lvlJc w:val="left"/>
        <w:pPr>
          <w:ind w:left="2664" w:hanging="115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nothing"/>
        <w:lvlText w:val="%1.%2.%3.%4.%5.%6.%7."/>
        <w:lvlJc w:val="left"/>
        <w:pPr>
          <w:ind w:left="2664" w:hanging="79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nothing"/>
        <w:lvlText w:val="%1.%2.%3.%4.%5.%6.%7.%8."/>
        <w:lvlJc w:val="left"/>
        <w:pPr>
          <w:ind w:left="3384" w:hanging="115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nothing"/>
        <w:lvlText w:val="%1.%2.%3.%4.%5.%6.%7.%8.%9."/>
        <w:lvlJc w:val="left"/>
        <w:pPr>
          <w:ind w:left="3384" w:hanging="798"/>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1" w16cid:durableId="1962570884">
    <w:abstractNumId w:val="1"/>
    <w:lvlOverride w:ilvl="0">
      <w:lvl w:ilvl="0">
        <w:start w:val="1"/>
        <w:numFmt w:val="decimal"/>
        <w:lvlText w:val="%1."/>
        <w:lvlJc w:val="left"/>
        <w:pPr>
          <w:ind w:left="425" w:hanging="425"/>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lvlText w:val="%1.%2."/>
        <w:lvlJc w:val="left"/>
        <w:pPr>
          <w:ind w:left="431" w:hanging="43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suff w:val="nothing"/>
        <w:lvlText w:val="%1.%2.%3."/>
        <w:lvlJc w:val="left"/>
        <w:pPr>
          <w:ind w:left="720" w:hanging="42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nothing"/>
        <w:lvlText w:val="%1.%2.%3.%4."/>
        <w:lvlJc w:val="left"/>
        <w:pPr>
          <w:ind w:left="1301" w:hanging="64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nothing"/>
        <w:lvlText w:val="%1.%2.%3.%4.%5."/>
        <w:lvlJc w:val="left"/>
        <w:pPr>
          <w:ind w:left="1440" w:hanging="42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nothing"/>
        <w:lvlText w:val="%1.%2.%3.%4.%5.%6."/>
        <w:lvlJc w:val="left"/>
        <w:pPr>
          <w:ind w:left="2160" w:hanging="78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nothing"/>
        <w:lvlText w:val="%1.%2.%3.%4.%5.%6.%7."/>
        <w:lvlJc w:val="left"/>
        <w:pPr>
          <w:ind w:left="2160" w:hanging="42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nothing"/>
        <w:lvlText w:val="%1.%2.%3.%4.%5.%6.%7.%8."/>
        <w:lvlJc w:val="left"/>
        <w:pPr>
          <w:ind w:left="2880" w:hanging="78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nothing"/>
        <w:lvlText w:val="%1.%2.%3.%4.%5.%6.%7.%8.%9."/>
        <w:lvlJc w:val="left"/>
        <w:pPr>
          <w:ind w:left="2880" w:hanging="426"/>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2" w16cid:durableId="1592426148">
    <w:abstractNumId w:val="1"/>
    <w:lvlOverride w:ilvl="0">
      <w:lvl w:ilvl="0">
        <w:start w:val="1"/>
        <w:numFmt w:val="decimal"/>
        <w:lvlText w:val="%1."/>
        <w:lvlJc w:val="left"/>
        <w:pPr>
          <w:ind w:left="425" w:hanging="425"/>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lvlText w:val="%1.%2."/>
        <w:lvlJc w:val="left"/>
        <w:pPr>
          <w:ind w:left="567" w:hanging="56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suff w:val="nothing"/>
        <w:lvlText w:val="%1.%2.%3."/>
        <w:lvlJc w:val="left"/>
        <w:pPr>
          <w:ind w:left="720" w:hanging="42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lvlText w:val="%1.%2.%3.%4."/>
        <w:lvlJc w:val="left"/>
        <w:pPr>
          <w:ind w:left="1437" w:hanging="78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nothing"/>
        <w:lvlText w:val="%1.%2.%3.%4.%5."/>
        <w:lvlJc w:val="left"/>
        <w:pPr>
          <w:ind w:left="1440" w:hanging="42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nothing"/>
        <w:lvlText w:val="%1.%2.%3.%4.%5.%6."/>
        <w:lvlJc w:val="left"/>
        <w:pPr>
          <w:ind w:left="2160" w:hanging="78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nothing"/>
        <w:lvlText w:val="%1.%2.%3.%4.%5.%6.%7."/>
        <w:lvlJc w:val="left"/>
        <w:pPr>
          <w:ind w:left="2160" w:hanging="42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nothing"/>
        <w:lvlText w:val="%1.%2.%3.%4.%5.%6.%7.%8."/>
        <w:lvlJc w:val="left"/>
        <w:pPr>
          <w:ind w:left="2880" w:hanging="78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nothing"/>
        <w:lvlText w:val="%1.%2.%3.%4.%5.%6.%7.%8.%9."/>
        <w:lvlJc w:val="left"/>
        <w:pPr>
          <w:ind w:left="2880" w:hanging="426"/>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3" w16cid:durableId="757479864">
    <w:abstractNumId w:val="8"/>
  </w:num>
  <w:num w:numId="14" w16cid:durableId="811411591">
    <w:abstractNumId w:val="6"/>
  </w:num>
  <w:num w:numId="15" w16cid:durableId="1853837551">
    <w:abstractNumId w:val="0"/>
  </w:num>
  <w:num w:numId="16" w16cid:durableId="1028489172">
    <w:abstractNumId w:val="7"/>
  </w:num>
  <w:num w:numId="17" w16cid:durableId="125501932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isplayBackgroundShape/>
  <w:proofState w:spelling="clean" w:grammar="clean"/>
  <w:documentProtection w:edit="readOnly" w:enforcement="1" w:cryptProviderType="rsaAES" w:cryptAlgorithmClass="hash" w:cryptAlgorithmType="typeAny" w:cryptAlgorithmSid="14" w:cryptSpinCount="100000" w:hash="o9hxNc4oFPfTgbZD7XUL5STN2OcYz5hQiZGgJ8vwTz4h5rCCavzFh//sSYkNl6YykYv7ZwypYXzpVzUdNjV4jg==" w:salt="al0SRDbn4QKLgJKQccNEFA=="/>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37F9"/>
    <w:rsid w:val="000C2DE0"/>
    <w:rsid w:val="000F5564"/>
    <w:rsid w:val="00120F2B"/>
    <w:rsid w:val="00126C2F"/>
    <w:rsid w:val="002E4A77"/>
    <w:rsid w:val="00344878"/>
    <w:rsid w:val="00361B6D"/>
    <w:rsid w:val="00384B50"/>
    <w:rsid w:val="00385083"/>
    <w:rsid w:val="004124AD"/>
    <w:rsid w:val="00437093"/>
    <w:rsid w:val="004D37F9"/>
    <w:rsid w:val="004F28E8"/>
    <w:rsid w:val="00583504"/>
    <w:rsid w:val="0060129C"/>
    <w:rsid w:val="0065789D"/>
    <w:rsid w:val="00661625"/>
    <w:rsid w:val="00771B2E"/>
    <w:rsid w:val="008D6520"/>
    <w:rsid w:val="009A1256"/>
    <w:rsid w:val="00A438C6"/>
    <w:rsid w:val="00B9689B"/>
    <w:rsid w:val="00C94975"/>
    <w:rsid w:val="00CD2146"/>
    <w:rsid w:val="00D05242"/>
    <w:rsid w:val="00D12500"/>
    <w:rsid w:val="00E2523D"/>
    <w:rsid w:val="00E52058"/>
    <w:rsid w:val="00E82491"/>
    <w:rsid w:val="00E90560"/>
    <w:rsid w:val="00EC20A5"/>
    <w:rsid w:val="00EF01FF"/>
    <w:rsid w:val="00F664B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C62969"/>
  <w15:docId w15:val="{5BECC2E5-226C-4D3C-B8E7-B72D48133D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lv-LV" w:eastAsia="lv-LV"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cs="Arial Unicode MS"/>
      <w:color w:val="000000"/>
      <w:sz w:val="24"/>
      <w:szCs w:val="24"/>
      <w:u w:color="000000"/>
      <w14:textOutline w14:w="0" w14:cap="flat" w14:cmpd="sng" w14:algn="ctr">
        <w14:noFill/>
        <w14:prstDash w14:val="solid"/>
        <w14:bevel/>
      </w14:textOutli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styleId="Footer">
    <w:name w:val="footer"/>
    <w:pPr>
      <w:tabs>
        <w:tab w:val="center" w:pos="4153"/>
        <w:tab w:val="right" w:pos="8306"/>
      </w:tabs>
    </w:pPr>
    <w:rPr>
      <w:rFonts w:cs="Arial Unicode MS"/>
      <w:color w:val="000000"/>
      <w:sz w:val="24"/>
      <w:szCs w:val="24"/>
      <w:u w:color="000000"/>
    </w:rPr>
  </w:style>
  <w:style w:type="character" w:styleId="PageNumber">
    <w:name w:val="page number"/>
  </w:style>
  <w:style w:type="paragraph" w:styleId="BodyTextIndent2">
    <w:name w:val="Body Text Indent 2"/>
    <w:pPr>
      <w:widowControl w:val="0"/>
      <w:ind w:left="539" w:hanging="539"/>
      <w:jc w:val="both"/>
    </w:pPr>
    <w:rPr>
      <w:rFonts w:eastAsia="Times New Roman"/>
      <w:color w:val="000000"/>
      <w:sz w:val="24"/>
      <w:szCs w:val="24"/>
      <w:u w:color="000000"/>
    </w:rPr>
  </w:style>
  <w:style w:type="numbering" w:customStyle="1" w:styleId="ImportedStyle2">
    <w:name w:val="Imported Style 2"/>
    <w:pPr>
      <w:numPr>
        <w:numId w:val="1"/>
      </w:numPr>
    </w:pPr>
  </w:style>
  <w:style w:type="paragraph" w:styleId="BodyTextIndent">
    <w:name w:val="Body Text Indent"/>
    <w:pPr>
      <w:ind w:left="360"/>
      <w:jc w:val="both"/>
    </w:pPr>
    <w:rPr>
      <w:rFonts w:cs="Arial Unicode MS"/>
      <w:color w:val="000000"/>
      <w:sz w:val="24"/>
      <w:szCs w:val="24"/>
      <w:u w:color="000000"/>
    </w:rPr>
  </w:style>
  <w:style w:type="numbering" w:customStyle="1" w:styleId="ImportedStyle3">
    <w:name w:val="Imported Style 3"/>
    <w:pPr>
      <w:numPr>
        <w:numId w:val="3"/>
      </w:numPr>
    </w:pPr>
  </w:style>
  <w:style w:type="character" w:customStyle="1" w:styleId="Hyperlink0">
    <w:name w:val="Hyperlink.0"/>
    <w:basedOn w:val="Hyperlink"/>
    <w:rPr>
      <w:outline w:val="0"/>
      <w:color w:val="0000FF"/>
      <w:u w:val="single" w:color="0000FF"/>
    </w:rPr>
  </w:style>
  <w:style w:type="character" w:customStyle="1" w:styleId="Hyperlink1">
    <w:name w:val="Hyperlink.1"/>
    <w:basedOn w:val="Hyperlink0"/>
    <w:rPr>
      <w:rFonts w:ascii="Times New Roman" w:eastAsia="Times New Roman" w:hAnsi="Times New Roman" w:cs="Times New Roman"/>
      <w:outline w:val="0"/>
      <w:color w:val="0000FF"/>
      <w:u w:val="single" w:color="0000FF"/>
    </w:rPr>
  </w:style>
  <w:style w:type="character" w:customStyle="1" w:styleId="Hyperlink2">
    <w:name w:val="Hyperlink.2"/>
    <w:basedOn w:val="Hyperlink0"/>
    <w:rPr>
      <w:rFonts w:ascii="Times New Roman" w:eastAsia="Times New Roman" w:hAnsi="Times New Roman" w:cs="Times New Roman"/>
      <w:outline w:val="0"/>
      <w:color w:val="0000FF"/>
      <w:u w:val="single" w:color="0000FF"/>
    </w:rPr>
  </w:style>
  <w:style w:type="paragraph" w:styleId="Header">
    <w:name w:val="header"/>
    <w:basedOn w:val="Normal"/>
    <w:link w:val="HeaderChar"/>
    <w:uiPriority w:val="99"/>
    <w:unhideWhenUsed/>
    <w:rsid w:val="0060129C"/>
    <w:pPr>
      <w:tabs>
        <w:tab w:val="center" w:pos="4153"/>
        <w:tab w:val="right" w:pos="8306"/>
      </w:tabs>
    </w:pPr>
  </w:style>
  <w:style w:type="character" w:customStyle="1" w:styleId="HeaderChar">
    <w:name w:val="Header Char"/>
    <w:basedOn w:val="DefaultParagraphFont"/>
    <w:link w:val="Header"/>
    <w:uiPriority w:val="99"/>
    <w:rsid w:val="0060129C"/>
    <w:rPr>
      <w:rFonts w:cs="Arial Unicode MS"/>
      <w:color w:val="000000"/>
      <w:sz w:val="24"/>
      <w:szCs w:val="24"/>
      <w:u w:color="000000"/>
      <w14:textOutline w14:w="0" w14:cap="flat" w14:cmpd="sng" w14:algn="ctr">
        <w14:noFill/>
        <w14:prstDash w14:val="solid"/>
        <w14:bevel/>
      </w14:textOutline>
    </w:rPr>
  </w:style>
  <w:style w:type="numbering" w:styleId="111111">
    <w:name w:val="Outline List 2"/>
    <w:basedOn w:val="NoList"/>
    <w:uiPriority w:val="99"/>
    <w:semiHidden/>
    <w:unhideWhenUsed/>
    <w:rsid w:val="00384B50"/>
    <w:pPr>
      <w:numPr>
        <w:numId w:val="1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ast@ast.lv" TargetMode="External"/><Relationship Id="rId3" Type="http://schemas.openxmlformats.org/officeDocument/2006/relationships/settings" Target="settings.xml"/><Relationship Id="rId7" Type="http://schemas.openxmlformats.org/officeDocument/2006/relationships/hyperlink" Target="mailto:ast@ast.lv"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Metadata/LabelInfo.xml><?xml version="1.0" encoding="utf-8"?>
<clbl:labelList xmlns:clbl="http://schemas.microsoft.com/office/2020/mipLabelMetadata">
  <clbl:label id="{66cffd26-8a8e-4271-ae8c-0448cc98c6fa}" enabled="1" method="Standard" siteId="{c4c0dd7c-1dfb-4088-9303-96b608da35b3}" contentBits="0" removed="0"/>
</clbl:labelList>
</file>

<file path=docProps/app.xml><?xml version="1.0" encoding="utf-8"?>
<Properties xmlns="http://schemas.openxmlformats.org/officeDocument/2006/extended-properties" xmlns:vt="http://schemas.openxmlformats.org/officeDocument/2006/docPropsVTypes">
  <Template>Normal</Template>
  <TotalTime>6</TotalTime>
  <Pages>6</Pages>
  <Words>1848</Words>
  <Characters>13325</Characters>
  <Application>Microsoft Office Word</Application>
  <DocSecurity>8</DocSecurity>
  <Lines>256</Lines>
  <Paragraphs>110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Kaspars Krustkalns</dc:creator>
  <cp:lastModifiedBy>Kārlis Ozoliņš</cp:lastModifiedBy>
  <cp:revision>5</cp:revision>
  <dcterms:created xsi:type="dcterms:W3CDTF">2026-03-26T08:09:00Z</dcterms:created>
  <dcterms:modified xsi:type="dcterms:W3CDTF">2026-03-26T11:26:00Z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6cffd26-8a8e-4271-ae8c-0448cc98c6fa_ActionId">
    <vt:lpwstr>e846770e-9afc-491d-989e-173150bf2c7b</vt:lpwstr>
  </property>
  <property fmtid="{D5CDD505-2E9C-101B-9397-08002B2CF9AE}" pid="3" name="MSIP_Label_66cffd26-8a8e-4271-ae8c-0448cc98c6fa_ContentBits">
    <vt:lpwstr>0</vt:lpwstr>
  </property>
  <property fmtid="{D5CDD505-2E9C-101B-9397-08002B2CF9AE}" pid="4" name="MSIP_Label_66cffd26-8a8e-4271-ae8c-0448cc98c6fa_Enabled">
    <vt:lpwstr>true</vt:lpwstr>
  </property>
  <property fmtid="{D5CDD505-2E9C-101B-9397-08002B2CF9AE}" pid="5" name="MSIP_Label_66cffd26-8a8e-4271-ae8c-0448cc98c6fa_Method">
    <vt:lpwstr>Standard</vt:lpwstr>
  </property>
  <property fmtid="{D5CDD505-2E9C-101B-9397-08002B2CF9AE}" pid="6" name="MSIP_Label_66cffd26-8a8e-4271-ae8c-0448cc98c6fa_Name">
    <vt:lpwstr>AST dokumenti</vt:lpwstr>
  </property>
  <property fmtid="{D5CDD505-2E9C-101B-9397-08002B2CF9AE}" pid="7" name="MSIP_Label_66cffd26-8a8e-4271-ae8c-0448cc98c6fa_SetDate">
    <vt:lpwstr>2025-07-23T11:04:42Z</vt:lpwstr>
  </property>
  <property fmtid="{D5CDD505-2E9C-101B-9397-08002B2CF9AE}" pid="8" name="MSIP_Label_66cffd26-8a8e-4271-ae8c-0448cc98c6fa_SiteId">
    <vt:lpwstr>c4c0dd7c-1dfb-4088-9303-96b608da35b3</vt:lpwstr>
  </property>
  <property fmtid="{D5CDD505-2E9C-101B-9397-08002B2CF9AE}" pid="9" name="MSIP_Label_66cffd26-8a8e-4271-ae8c-0448cc98c6fa_Tag">
    <vt:lpwstr>10, 3, 0, 1</vt:lpwstr>
  </property>
</Properties>
</file>