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5F" w:rsidRPr="009C055F" w:rsidRDefault="009C055F" w:rsidP="009C055F">
      <w:pPr>
        <w:ind w:left="426" w:hanging="426"/>
        <w:jc w:val="center"/>
        <w:rPr>
          <w:rStyle w:val="Strong"/>
          <w:rFonts w:ascii="Times New Roman" w:hAnsi="Times New Roman" w:cs="Times New Roman"/>
          <w:sz w:val="32"/>
          <w:szCs w:val="32"/>
        </w:rPr>
      </w:pPr>
      <w:r w:rsidRPr="009C055F">
        <w:rPr>
          <w:rStyle w:val="Strong"/>
          <w:rFonts w:ascii="Times New Roman" w:hAnsi="Times New Roman" w:cs="Times New Roman"/>
          <w:sz w:val="32"/>
          <w:szCs w:val="32"/>
        </w:rPr>
        <w:t>Atbilstības tabula Regulas 2017/2196 4. panta 4. punkta prasībām</w:t>
      </w:r>
    </w:p>
    <w:tbl>
      <w:tblPr>
        <w:tblStyle w:val="TableGrid"/>
        <w:tblW w:w="10068" w:type="dxa"/>
        <w:tblInd w:w="-885" w:type="dxa"/>
        <w:tblLook w:val="04A0" w:firstRow="1" w:lastRow="0" w:firstColumn="1" w:lastColumn="0" w:noHBand="0" w:noVBand="1"/>
      </w:tblPr>
      <w:tblGrid>
        <w:gridCol w:w="6013"/>
        <w:gridCol w:w="4055"/>
      </w:tblGrid>
      <w:tr w:rsidR="009C055F" w:rsidRPr="009C055F" w:rsidTr="002E0C99">
        <w:trPr>
          <w:trHeight w:val="325"/>
        </w:trPr>
        <w:tc>
          <w:tcPr>
            <w:tcW w:w="6013" w:type="dxa"/>
            <w:shd w:val="clear" w:color="auto" w:fill="1F497D" w:themeFill="text2"/>
            <w:vAlign w:val="center"/>
          </w:tcPr>
          <w:p w:rsidR="009C055F" w:rsidRPr="009C055F" w:rsidRDefault="009C055F" w:rsidP="002E0C99">
            <w:pPr>
              <w:ind w:left="360" w:hanging="360"/>
              <w:jc w:val="center"/>
              <w:rPr>
                <w:rStyle w:val="Strong"/>
                <w:rFonts w:ascii="Times New Roman" w:hAnsi="Times New Roman" w:cs="Times New Roman"/>
                <w:b w:val="0"/>
                <w:color w:val="FFFFFF" w:themeColor="background1"/>
                <w:sz w:val="24"/>
                <w:szCs w:val="24"/>
              </w:rPr>
            </w:pPr>
            <w:r w:rsidRPr="009C055F">
              <w:rPr>
                <w:rStyle w:val="Strong"/>
                <w:rFonts w:ascii="Times New Roman" w:hAnsi="Times New Roman" w:cs="Times New Roman"/>
                <w:color w:val="FFFFFF" w:themeColor="background1"/>
                <w:sz w:val="24"/>
                <w:szCs w:val="24"/>
              </w:rPr>
              <w:t>Regulas 2017/2196  4. panta 4. punkta prasība</w:t>
            </w:r>
          </w:p>
        </w:tc>
        <w:tc>
          <w:tcPr>
            <w:tcW w:w="4055" w:type="dxa"/>
            <w:shd w:val="clear" w:color="auto" w:fill="1F497D" w:themeFill="text2"/>
            <w:vAlign w:val="center"/>
          </w:tcPr>
          <w:p w:rsidR="009C055F" w:rsidRPr="009C055F" w:rsidRDefault="009C055F" w:rsidP="002E0C99">
            <w:pPr>
              <w:jc w:val="center"/>
              <w:rPr>
                <w:rStyle w:val="Strong"/>
                <w:rFonts w:ascii="Times New Roman" w:hAnsi="Times New Roman" w:cs="Times New Roman"/>
                <w:b w:val="0"/>
                <w:color w:val="FFFFFF" w:themeColor="background1"/>
                <w:sz w:val="24"/>
                <w:szCs w:val="24"/>
              </w:rPr>
            </w:pPr>
            <w:r w:rsidRPr="009C055F">
              <w:rPr>
                <w:rStyle w:val="Strong"/>
                <w:rFonts w:ascii="Times New Roman" w:hAnsi="Times New Roman" w:cs="Times New Roman"/>
                <w:color w:val="FFFFFF" w:themeColor="background1"/>
                <w:sz w:val="24"/>
                <w:szCs w:val="24"/>
              </w:rPr>
              <w:t>Noteikumu sadaļa</w:t>
            </w:r>
          </w:p>
        </w:tc>
      </w:tr>
      <w:tr w:rsidR="009C055F" w:rsidRPr="009C055F" w:rsidTr="002E0C99">
        <w:trPr>
          <w:trHeight w:val="589"/>
        </w:trPr>
        <w:tc>
          <w:tcPr>
            <w:tcW w:w="6013" w:type="dxa"/>
          </w:tcPr>
          <w:p w:rsidR="009C055F" w:rsidRPr="009C055F" w:rsidRDefault="009C055F" w:rsidP="002E0C99">
            <w:pPr>
              <w:ind w:left="34"/>
              <w:rPr>
                <w:rStyle w:val="Strong"/>
                <w:rFonts w:ascii="Times New Roman" w:hAnsi="Times New Roman" w:cs="Times New Roman"/>
                <w:b w:val="0"/>
              </w:rPr>
            </w:pPr>
            <w:r w:rsidRPr="009C055F">
              <w:rPr>
                <w:rStyle w:val="Strong"/>
                <w:rFonts w:ascii="Times New Roman" w:hAnsi="Times New Roman" w:cs="Times New Roman"/>
                <w:b w:val="0"/>
              </w:rPr>
              <w:t>Noteikumus, kas nosaka aizsardzības pakalpojuma sniedzēju un atjaunošanas pakalpojumu sniedzēju darbību, nosaka vai nu valsts tiesiskajā regulējumā, vai līgumiski.</w:t>
            </w:r>
          </w:p>
        </w:tc>
        <w:tc>
          <w:tcPr>
            <w:tcW w:w="4055" w:type="dxa"/>
            <w:vAlign w:val="center"/>
          </w:tcPr>
          <w:p w:rsidR="009C055F" w:rsidRPr="009C055F" w:rsidRDefault="009C055F" w:rsidP="002E0C99">
            <w:pPr>
              <w:jc w:val="center"/>
              <w:rPr>
                <w:rStyle w:val="Strong"/>
                <w:rFonts w:ascii="Times New Roman" w:hAnsi="Times New Roman" w:cs="Times New Roman"/>
                <w:b w:val="0"/>
              </w:rPr>
            </w:pPr>
            <w:r w:rsidRPr="009C055F">
              <w:rPr>
                <w:rStyle w:val="Strong"/>
                <w:rFonts w:ascii="Times New Roman" w:hAnsi="Times New Roman" w:cs="Times New Roman"/>
                <w:b w:val="0"/>
              </w:rPr>
              <w:t>I nodaļa</w:t>
            </w:r>
          </w:p>
        </w:tc>
      </w:tr>
      <w:tr w:rsidR="009C055F" w:rsidRPr="009C055F" w:rsidTr="002E0C99">
        <w:trPr>
          <w:trHeight w:val="589"/>
        </w:trPr>
        <w:tc>
          <w:tcPr>
            <w:tcW w:w="6013" w:type="dxa"/>
          </w:tcPr>
          <w:p w:rsidR="009C055F" w:rsidRPr="009C055F" w:rsidRDefault="009C055F" w:rsidP="009C055F">
            <w:pPr>
              <w:pStyle w:val="ListParagraph"/>
              <w:numPr>
                <w:ilvl w:val="0"/>
                <w:numId w:val="2"/>
              </w:numPr>
              <w:ind w:left="318" w:hanging="318"/>
              <w:jc w:val="both"/>
              <w:rPr>
                <w:rStyle w:val="Strong"/>
                <w:rFonts w:ascii="Times New Roman" w:hAnsi="Times New Roman" w:cs="Times New Roman"/>
                <w:b w:val="0"/>
              </w:rPr>
            </w:pPr>
            <w:r w:rsidRPr="009C055F">
              <w:rPr>
                <w:rStyle w:val="Strong"/>
                <w:rFonts w:ascii="Times New Roman" w:hAnsi="Times New Roman" w:cs="Times New Roman"/>
                <w:b w:val="0"/>
              </w:rPr>
              <w:t>sniedzamā pakalpojuma īpatnības;</w:t>
            </w:r>
          </w:p>
        </w:tc>
        <w:tc>
          <w:tcPr>
            <w:tcW w:w="4055" w:type="dxa"/>
            <w:vAlign w:val="center"/>
          </w:tcPr>
          <w:p w:rsidR="009C055F" w:rsidRPr="009C055F" w:rsidRDefault="009C055F" w:rsidP="002E0C99">
            <w:pPr>
              <w:jc w:val="center"/>
              <w:rPr>
                <w:rStyle w:val="Strong"/>
                <w:rFonts w:ascii="Times New Roman" w:hAnsi="Times New Roman" w:cs="Times New Roman"/>
                <w:b w:val="0"/>
              </w:rPr>
            </w:pPr>
            <w:r w:rsidRPr="009C055F">
              <w:rPr>
                <w:rStyle w:val="Strong"/>
                <w:rFonts w:ascii="Times New Roman" w:hAnsi="Times New Roman" w:cs="Times New Roman"/>
                <w:b w:val="0"/>
              </w:rPr>
              <w:t>II nodaļa</w:t>
            </w:r>
          </w:p>
        </w:tc>
      </w:tr>
      <w:tr w:rsidR="009C055F" w:rsidRPr="009C055F" w:rsidTr="002E0C99">
        <w:trPr>
          <w:trHeight w:val="555"/>
        </w:trPr>
        <w:tc>
          <w:tcPr>
            <w:tcW w:w="6013" w:type="dxa"/>
          </w:tcPr>
          <w:p w:rsidR="009C055F" w:rsidRPr="009C055F" w:rsidRDefault="009C055F" w:rsidP="002E0C99">
            <w:pPr>
              <w:ind w:left="360" w:hanging="360"/>
              <w:rPr>
                <w:rStyle w:val="Strong"/>
                <w:rFonts w:ascii="Times New Roman" w:hAnsi="Times New Roman" w:cs="Times New Roman"/>
                <w:b w:val="0"/>
              </w:rPr>
            </w:pPr>
            <w:r w:rsidRPr="009C055F">
              <w:rPr>
                <w:rStyle w:val="Strong"/>
                <w:rFonts w:ascii="Times New Roman" w:hAnsi="Times New Roman" w:cs="Times New Roman"/>
                <w:b w:val="0"/>
              </w:rPr>
              <w:t xml:space="preserve">b) </w:t>
            </w:r>
            <w:proofErr w:type="spellStart"/>
            <w:r w:rsidRPr="009C055F">
              <w:rPr>
                <w:rStyle w:val="Strong"/>
                <w:rFonts w:ascii="Times New Roman" w:hAnsi="Times New Roman" w:cs="Times New Roman"/>
                <w:b w:val="0"/>
              </w:rPr>
              <w:t>agregēšanas</w:t>
            </w:r>
            <w:proofErr w:type="spellEnd"/>
            <w:r w:rsidRPr="009C055F">
              <w:rPr>
                <w:rStyle w:val="Strong"/>
                <w:rFonts w:ascii="Times New Roman" w:hAnsi="Times New Roman" w:cs="Times New Roman"/>
                <w:b w:val="0"/>
              </w:rPr>
              <w:t xml:space="preserve"> iespējamība un </w:t>
            </w:r>
            <w:proofErr w:type="spellStart"/>
            <w:r w:rsidRPr="009C055F">
              <w:rPr>
                <w:rStyle w:val="Strong"/>
                <w:rFonts w:ascii="Times New Roman" w:hAnsi="Times New Roman" w:cs="Times New Roman"/>
                <w:b w:val="0"/>
              </w:rPr>
              <w:t>agregēšanas</w:t>
            </w:r>
            <w:proofErr w:type="spellEnd"/>
            <w:r w:rsidRPr="009C055F">
              <w:rPr>
                <w:rStyle w:val="Strong"/>
                <w:rFonts w:ascii="Times New Roman" w:hAnsi="Times New Roman" w:cs="Times New Roman"/>
                <w:b w:val="0"/>
              </w:rPr>
              <w:t xml:space="preserve"> nosacījumi; un</w:t>
            </w:r>
          </w:p>
        </w:tc>
        <w:tc>
          <w:tcPr>
            <w:tcW w:w="4055" w:type="dxa"/>
            <w:vAlign w:val="center"/>
          </w:tcPr>
          <w:p w:rsidR="009C055F" w:rsidRPr="009C055F" w:rsidRDefault="009C055F" w:rsidP="002E0C99">
            <w:pPr>
              <w:ind w:left="43"/>
              <w:jc w:val="center"/>
              <w:rPr>
                <w:rStyle w:val="Strong"/>
                <w:rFonts w:ascii="Times New Roman" w:hAnsi="Times New Roman" w:cs="Times New Roman"/>
                <w:b w:val="0"/>
              </w:rPr>
            </w:pPr>
            <w:r w:rsidRPr="009C055F">
              <w:rPr>
                <w:rStyle w:val="Strong"/>
                <w:rFonts w:ascii="Times New Roman" w:hAnsi="Times New Roman" w:cs="Times New Roman"/>
                <w:b w:val="0"/>
              </w:rPr>
              <w:t>Vēstulē skaidrojums, ka nav iespējama agregācija</w:t>
            </w:r>
          </w:p>
        </w:tc>
      </w:tr>
      <w:tr w:rsidR="009C055F" w:rsidRPr="009C055F" w:rsidTr="002E0C99">
        <w:trPr>
          <w:trHeight w:val="622"/>
        </w:trPr>
        <w:tc>
          <w:tcPr>
            <w:tcW w:w="6013" w:type="dxa"/>
          </w:tcPr>
          <w:p w:rsidR="009C055F" w:rsidRPr="009C055F" w:rsidRDefault="009C055F" w:rsidP="002E0C99">
            <w:pPr>
              <w:rPr>
                <w:rStyle w:val="Strong"/>
                <w:rFonts w:ascii="Times New Roman" w:hAnsi="Times New Roman" w:cs="Times New Roman"/>
                <w:b w:val="0"/>
                <w:sz w:val="24"/>
                <w:szCs w:val="24"/>
              </w:rPr>
            </w:pPr>
            <w:r w:rsidRPr="009C055F">
              <w:rPr>
                <w:rStyle w:val="Strong"/>
                <w:rFonts w:ascii="Times New Roman" w:hAnsi="Times New Roman" w:cs="Times New Roman"/>
                <w:b w:val="0"/>
              </w:rPr>
              <w:t xml:space="preserve">c) Atjaunošanas pakalpojumu sniedzēju barošanas avotu, kam ir spēja atjaunot darbību pēc izslēgšanās, ātrās </w:t>
            </w:r>
            <w:proofErr w:type="spellStart"/>
            <w:r w:rsidRPr="009C055F">
              <w:rPr>
                <w:rStyle w:val="Strong"/>
                <w:rFonts w:ascii="Times New Roman" w:hAnsi="Times New Roman" w:cs="Times New Roman"/>
                <w:b w:val="0"/>
              </w:rPr>
              <w:t>resinhronizācijas</w:t>
            </w:r>
            <w:proofErr w:type="spellEnd"/>
            <w:r w:rsidRPr="009C055F">
              <w:rPr>
                <w:rStyle w:val="Strong"/>
                <w:rFonts w:ascii="Times New Roman" w:hAnsi="Times New Roman" w:cs="Times New Roman"/>
                <w:b w:val="0"/>
              </w:rPr>
              <w:t xml:space="preserve"> spēja (izmantojot pašpatēriņa režīmu) un spēja darboties izolētā režīmā, ģeogrāfiskais </w:t>
            </w:r>
            <w:proofErr w:type="spellStart"/>
            <w:r w:rsidRPr="009C055F">
              <w:rPr>
                <w:rStyle w:val="Strong"/>
                <w:rFonts w:ascii="Times New Roman" w:hAnsi="Times New Roman" w:cs="Times New Roman"/>
                <w:b w:val="0"/>
              </w:rPr>
              <w:t>mērķsadalījums</w:t>
            </w:r>
            <w:proofErr w:type="spellEnd"/>
            <w:r w:rsidRPr="009C055F">
              <w:rPr>
                <w:rStyle w:val="Strong"/>
                <w:rFonts w:ascii="Times New Roman" w:hAnsi="Times New Roman" w:cs="Times New Roman"/>
                <w:b w:val="0"/>
              </w:rPr>
              <w:t>.</w:t>
            </w:r>
          </w:p>
        </w:tc>
        <w:tc>
          <w:tcPr>
            <w:tcW w:w="4055" w:type="dxa"/>
            <w:vAlign w:val="center"/>
          </w:tcPr>
          <w:p w:rsidR="009C055F" w:rsidRPr="009C055F" w:rsidRDefault="009C055F" w:rsidP="009C055F">
            <w:pPr>
              <w:jc w:val="center"/>
              <w:rPr>
                <w:rStyle w:val="Strong"/>
                <w:rFonts w:ascii="Times New Roman" w:hAnsi="Times New Roman" w:cs="Times New Roman"/>
                <w:b w:val="0"/>
              </w:rPr>
            </w:pPr>
            <w:r w:rsidRPr="009C055F">
              <w:rPr>
                <w:rStyle w:val="Strong"/>
                <w:rFonts w:ascii="Times New Roman" w:hAnsi="Times New Roman" w:cs="Times New Roman"/>
                <w:b w:val="0"/>
              </w:rPr>
              <w:t>1</w:t>
            </w:r>
            <w:r>
              <w:rPr>
                <w:rStyle w:val="Strong"/>
                <w:rFonts w:ascii="Times New Roman" w:hAnsi="Times New Roman" w:cs="Times New Roman"/>
                <w:b w:val="0"/>
              </w:rPr>
              <w:t>2</w:t>
            </w:r>
            <w:r w:rsidRPr="009C055F">
              <w:rPr>
                <w:rStyle w:val="Strong"/>
                <w:rFonts w:ascii="Times New Roman" w:hAnsi="Times New Roman" w:cs="Times New Roman"/>
                <w:b w:val="0"/>
              </w:rPr>
              <w:t>. punkts</w:t>
            </w:r>
          </w:p>
        </w:tc>
      </w:tr>
    </w:tbl>
    <w:p w:rsidR="009C055F" w:rsidRDefault="009C055F">
      <w:pPr>
        <w:rPr>
          <w:rFonts w:ascii="Times New Roman" w:hAnsi="Times New Roman" w:cs="Times New Roman"/>
          <w:b/>
          <w:sz w:val="32"/>
          <w:szCs w:val="32"/>
        </w:rPr>
      </w:pPr>
      <w:r>
        <w:rPr>
          <w:rFonts w:ascii="Times New Roman" w:hAnsi="Times New Roman" w:cs="Times New Roman"/>
          <w:b/>
          <w:sz w:val="32"/>
          <w:szCs w:val="32"/>
        </w:rPr>
        <w:br w:type="page"/>
      </w:r>
    </w:p>
    <w:p w:rsidR="005766AC" w:rsidRDefault="008E072B" w:rsidP="008E072B">
      <w:pPr>
        <w:jc w:val="center"/>
        <w:rPr>
          <w:rFonts w:ascii="Times New Roman" w:hAnsi="Times New Roman" w:cs="Times New Roman"/>
          <w:b/>
          <w:sz w:val="32"/>
          <w:szCs w:val="32"/>
        </w:rPr>
      </w:pPr>
      <w:r w:rsidRPr="008E072B">
        <w:rPr>
          <w:rFonts w:ascii="Times New Roman" w:hAnsi="Times New Roman" w:cs="Times New Roman"/>
          <w:b/>
          <w:sz w:val="32"/>
          <w:szCs w:val="32"/>
        </w:rPr>
        <w:lastRenderedPageBreak/>
        <w:t>Noteikumi, kas nosaka aizsardzības un atjaunošanas pakalpojuma sniedzēju darbību</w:t>
      </w:r>
    </w:p>
    <w:p w:rsidR="008E072B" w:rsidRDefault="008E072B" w:rsidP="008E072B">
      <w:pPr>
        <w:spacing w:before="120" w:after="120" w:line="240" w:lineRule="auto"/>
        <w:jc w:val="center"/>
        <w:rPr>
          <w:rFonts w:ascii="Times New Roman" w:hAnsi="Times New Roman" w:cs="Times New Roman"/>
          <w:sz w:val="32"/>
          <w:szCs w:val="32"/>
        </w:rPr>
      </w:pPr>
      <w:r>
        <w:rPr>
          <w:rFonts w:ascii="Times New Roman" w:hAnsi="Times New Roman" w:cs="Times New Roman"/>
          <w:sz w:val="32"/>
          <w:szCs w:val="32"/>
        </w:rPr>
        <w:t>I </w:t>
      </w:r>
      <w:r w:rsidRPr="008E072B">
        <w:rPr>
          <w:rFonts w:ascii="Times New Roman" w:hAnsi="Times New Roman" w:cs="Times New Roman"/>
          <w:sz w:val="32"/>
          <w:szCs w:val="32"/>
        </w:rPr>
        <w:t>Vispārīgie noteikumi</w:t>
      </w:r>
    </w:p>
    <w:p w:rsid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Šajā pielikumā noteikti noteikumi aizsardzības un atjaunošanas pakalpojuma sniedzējiem, kas sniedz aizsardzības un atjaunošanas  pakalpojumu pārvades sistēmas operatoram un tie izstrādāti saskaņā ar Komisijas 2017. gada 24. novembra Regulas 2017/2196, ar ko izveido tīkla kodeksu par ārkārtas un atjaunošanas stāvokli elektrosistēmā (turpmāk – Regula 2017/2196), 4. panta 4.punkta nosacījumiem.</w:t>
      </w:r>
    </w:p>
    <w:p w:rsid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Par aizsardzības pakalpojumiem uzskatāmi šādi pakalpojumi:</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normatīvās avārijas jaudas rezerves;</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pārāk augstas frekvences automātiskās kontroles shēmas uzturēšana (automātiska pievadītās jaudas samazināšana);</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pārāk zemas frekvences automātiskās kontroles shēmas uzturēšana (shēma  automātiskai pieprasījuma atslēgšanai pie zemas frekvences); </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pārāk zemas frekvences automātiskās kontroles shēmas uzturēšana (shēma automātiskai pievadītās jaudas palielināšanai pie zemas frekvences); </w:t>
      </w:r>
    </w:p>
    <w:p w:rsid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automātiskās shēmas pret sprieguma nosēšanos uzturēšana (shēma pieprasījuma atslēgšanai pie zema sprieguma).</w:t>
      </w:r>
    </w:p>
    <w:p w:rsid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Par atjaunošanas pakalpojumiem uzskatāmi šādi pakalpojumi nodzisuma stāvoklī esošas elektroenerģijas sistēmas darbības atjaunošanai</w:t>
      </w:r>
      <w:r>
        <w:rPr>
          <w:rFonts w:ascii="Times New Roman" w:hAnsi="Times New Roman" w:cs="Times New Roman"/>
          <w:sz w:val="24"/>
          <w:szCs w:val="24"/>
        </w:rPr>
        <w:t>;</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ģeneratora palaišana bez ārējā sprieguma saņemšanas; </w:t>
      </w:r>
    </w:p>
    <w:p w:rsidR="008E072B" w:rsidRP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ģeneratora spēja darboties izolētā režīmā;</w:t>
      </w:r>
    </w:p>
    <w:p w:rsidR="008E072B" w:rsidRDefault="008E072B" w:rsidP="008E072B">
      <w:pPr>
        <w:pStyle w:val="ListParagraph"/>
        <w:numPr>
          <w:ilvl w:val="1"/>
          <w:numId w:val="1"/>
        </w:numPr>
        <w:spacing w:before="120" w:after="120" w:line="240" w:lineRule="auto"/>
        <w:ind w:left="1418"/>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ātrās </w:t>
      </w:r>
      <w:proofErr w:type="spellStart"/>
      <w:r w:rsidRPr="008E072B">
        <w:rPr>
          <w:rFonts w:ascii="Times New Roman" w:hAnsi="Times New Roman" w:cs="Times New Roman"/>
          <w:sz w:val="24"/>
          <w:szCs w:val="24"/>
        </w:rPr>
        <w:t>resinhronizācijas</w:t>
      </w:r>
      <w:proofErr w:type="spellEnd"/>
      <w:r w:rsidRPr="008E072B">
        <w:rPr>
          <w:rFonts w:ascii="Times New Roman" w:hAnsi="Times New Roman" w:cs="Times New Roman"/>
          <w:sz w:val="24"/>
          <w:szCs w:val="24"/>
        </w:rPr>
        <w:t xml:space="preserve"> spēja, izmantojot pašpatēriņa režīmu.</w:t>
      </w:r>
    </w:p>
    <w:p w:rsid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Šī pielikuma 2.1., 2.2., 2.4. un 3.1. punktā minētos pakalpojumus </w:t>
      </w:r>
      <w:r w:rsidRPr="008E072B">
        <w:rPr>
          <w:rFonts w:ascii="Times New Roman" w:hAnsi="Times New Roman" w:cs="Times New Roman"/>
          <w:sz w:val="24"/>
          <w:szCs w:val="24"/>
        </w:rPr>
        <w:t xml:space="preserve">pakalpojuma sniedzēji sniedz pārvades sistēmas operatoram atbilstoši tā rīkotās iepirkuma procedūras rezultātiem, noslēdzot sistēmas </w:t>
      </w:r>
      <w:proofErr w:type="spellStart"/>
      <w:r w:rsidRPr="008E072B">
        <w:rPr>
          <w:rFonts w:ascii="Times New Roman" w:hAnsi="Times New Roman" w:cs="Times New Roman"/>
          <w:sz w:val="24"/>
          <w:szCs w:val="24"/>
        </w:rPr>
        <w:t>palīgpakalpojumu</w:t>
      </w:r>
      <w:proofErr w:type="spellEnd"/>
      <w:r w:rsidRPr="008E072B">
        <w:rPr>
          <w:rFonts w:ascii="Times New Roman" w:hAnsi="Times New Roman" w:cs="Times New Roman"/>
          <w:sz w:val="24"/>
          <w:szCs w:val="24"/>
        </w:rPr>
        <w:t xml:space="preserve"> līgumu.</w:t>
      </w:r>
    </w:p>
    <w:p w:rsidR="008E072B" w:rsidRPr="00D17A64"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bookmarkStart w:id="0" w:name="_GoBack"/>
      <w:bookmarkEnd w:id="0"/>
      <w:r w:rsidRPr="00D17A64">
        <w:rPr>
          <w:rFonts w:ascii="Times New Roman" w:hAnsi="Times New Roman" w:cs="Times New Roman"/>
          <w:sz w:val="24"/>
          <w:szCs w:val="24"/>
        </w:rPr>
        <w:t>Šī pielikuma 2.4., 2.5., 3.2. un 3.3.punktā minētos pakalpojumu sniegšanas nosacījumi ir noteikti</w:t>
      </w:r>
      <w:r w:rsidR="00D17A64" w:rsidRPr="00D17A64">
        <w:rPr>
          <w:rFonts w:ascii="Times New Roman" w:hAnsi="Times New Roman" w:cs="Times New Roman"/>
          <w:sz w:val="24"/>
          <w:szCs w:val="24"/>
        </w:rPr>
        <w:t xml:space="preserve"> Tīkla kodeksā.</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Šī pielikuma 4</w:t>
      </w:r>
      <w:r w:rsidRPr="008E072B">
        <w:rPr>
          <w:rFonts w:ascii="Times New Roman" w:hAnsi="Times New Roman" w:cs="Times New Roman"/>
          <w:sz w:val="24"/>
          <w:szCs w:val="24"/>
        </w:rPr>
        <w:t xml:space="preserve">. punktā minētā sistēmas </w:t>
      </w:r>
      <w:proofErr w:type="spellStart"/>
      <w:r w:rsidRPr="008E072B">
        <w:rPr>
          <w:rFonts w:ascii="Times New Roman" w:hAnsi="Times New Roman" w:cs="Times New Roman"/>
          <w:sz w:val="24"/>
          <w:szCs w:val="24"/>
        </w:rPr>
        <w:t>palīgpakalpojuma</w:t>
      </w:r>
      <w:proofErr w:type="spellEnd"/>
      <w:r w:rsidRPr="008E072B">
        <w:rPr>
          <w:rFonts w:ascii="Times New Roman" w:hAnsi="Times New Roman" w:cs="Times New Roman"/>
          <w:sz w:val="24"/>
          <w:szCs w:val="24"/>
        </w:rPr>
        <w:t xml:space="preserve"> līguma standarta formu izstrādā pārvades sistēmas operators un publicē savā tīmekļa vietnē. Sistēmas </w:t>
      </w:r>
      <w:proofErr w:type="spellStart"/>
      <w:r w:rsidRPr="008E072B">
        <w:rPr>
          <w:rFonts w:ascii="Times New Roman" w:hAnsi="Times New Roman" w:cs="Times New Roman"/>
          <w:sz w:val="24"/>
          <w:szCs w:val="24"/>
        </w:rPr>
        <w:t>palīgpakalpojuma</w:t>
      </w:r>
      <w:proofErr w:type="spellEnd"/>
      <w:r w:rsidRPr="008E072B">
        <w:rPr>
          <w:rFonts w:ascii="Times New Roman" w:hAnsi="Times New Roman" w:cs="Times New Roman"/>
          <w:sz w:val="24"/>
          <w:szCs w:val="24"/>
        </w:rPr>
        <w:t xml:space="preserve"> līgumā pārvades sistēmas operators ietver nosacījumus, kas izriet no šī pielikuma, Regulas 2017/2196 un citu normatīvo aktu prasībām.   </w:t>
      </w:r>
    </w:p>
    <w:p w:rsidR="008E072B" w:rsidRDefault="008E072B" w:rsidP="008E072B">
      <w:pPr>
        <w:pStyle w:val="ListParagraph"/>
        <w:spacing w:before="120" w:after="120" w:line="240" w:lineRule="auto"/>
        <w:ind w:left="360"/>
        <w:contextualSpacing w:val="0"/>
        <w:jc w:val="both"/>
        <w:rPr>
          <w:rFonts w:ascii="Times New Roman" w:hAnsi="Times New Roman" w:cs="Times New Roman"/>
          <w:sz w:val="24"/>
          <w:szCs w:val="24"/>
        </w:rPr>
      </w:pPr>
    </w:p>
    <w:p w:rsidR="008E072B" w:rsidRDefault="008E072B" w:rsidP="008E072B">
      <w:pPr>
        <w:spacing w:before="120" w:after="120" w:line="240" w:lineRule="auto"/>
        <w:jc w:val="center"/>
        <w:rPr>
          <w:rFonts w:ascii="Times New Roman" w:hAnsi="Times New Roman" w:cs="Times New Roman"/>
          <w:sz w:val="32"/>
          <w:szCs w:val="32"/>
        </w:rPr>
      </w:pPr>
      <w:r>
        <w:rPr>
          <w:rFonts w:ascii="Times New Roman" w:hAnsi="Times New Roman" w:cs="Times New Roman"/>
          <w:sz w:val="32"/>
          <w:szCs w:val="32"/>
        </w:rPr>
        <w:t>II </w:t>
      </w:r>
      <w:r w:rsidRPr="008E072B">
        <w:rPr>
          <w:rFonts w:ascii="Times New Roman" w:hAnsi="Times New Roman" w:cs="Times New Roman"/>
          <w:sz w:val="32"/>
          <w:szCs w:val="32"/>
        </w:rPr>
        <w:t>Sniedzamā pakalpojuma raksturojums</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Sistēmas aizsardzības un atjaunošanas pakalpojumus var sniegt tirgus dalībnieks, kura pakalpojuma sniegšanai izmantojamās elektroietaises, kas atrodas pārvades sistēmas operatora licences darbības zonā darbojas sinhronā tīklā ar pārvades sistēmu. </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lastRenderedPageBreak/>
        <w:t>Uzturamo normatīvo avārijas jaudas rezervju apmēru sistēmas drošumam nosaka pārvades sistēmas operators atbilstoši normatīvo aktu prasībām un noslēgtajiem līgumiem ar citas valsts pārvades sistēmas operatoru. Pārvades sistēmas operators ir tiesīgs noteikt, ka visu normatīvo avārijas jaudas rezervju apmēru sistēmas drošumam tam nodrošina viens aizsardzības pakalpojuma sniedzējs.</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Aizsardzības pakalpojuma sniedzējs normatīvo avārijas jaudas rezerves sistēmas drošumam var nodrošināt, ja tas  jaudas rezervju uzturēšanai izmanto elektroietaises, kuru uzstādītā elektriskā jauda nav mazāka par 1 MW un to pilnas jaudas aktivizācijas laiks nepārsniedz 15 minūtes.</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Aizsardzības pakalpojuma sniedzējs pārāk augstas frekvences automātiskās kontroles shēmas, pārāk zemas frekvences automātiskās kontroles un automātiskās shēmas pret sprieguma nosēšanos uzturēšanu var sniegt, ja tas var nodrošināt pārvades sistēmas vajadzībām atbilstošas ģenerācijas vai pieprasījuma apjoma pieslēgšanu attiecīgajai shēmai  un tās pienācīgu uzturēšanu. Tehniskās prasības, kas piemērojamas šī pakalpojuma sniegšanai nosaka pārvades sistēmas operators sistēmas </w:t>
      </w:r>
      <w:proofErr w:type="spellStart"/>
      <w:r w:rsidRPr="008E072B">
        <w:rPr>
          <w:rFonts w:ascii="Times New Roman" w:hAnsi="Times New Roman" w:cs="Times New Roman"/>
          <w:sz w:val="24"/>
          <w:szCs w:val="24"/>
        </w:rPr>
        <w:t>palīgpakalpojuma</w:t>
      </w:r>
      <w:proofErr w:type="spellEnd"/>
      <w:r w:rsidRPr="008E072B">
        <w:rPr>
          <w:rFonts w:ascii="Times New Roman" w:hAnsi="Times New Roman" w:cs="Times New Roman"/>
          <w:sz w:val="24"/>
          <w:szCs w:val="24"/>
        </w:rPr>
        <w:t xml:space="preserve"> līgumā. </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Atjaunošanas pakalpojuma sniedzējs, veicot nodzisuma stāvoklī esošas elektroenerģijas sistēmas darbības atjaunošanu, nodrošina elektroenerģijas sistēmas augšupēju spriegumu </w:t>
      </w:r>
      <w:proofErr w:type="spellStart"/>
      <w:r w:rsidRPr="008E072B">
        <w:rPr>
          <w:rFonts w:ascii="Times New Roman" w:hAnsi="Times New Roman" w:cs="Times New Roman"/>
          <w:sz w:val="24"/>
          <w:szCs w:val="24"/>
        </w:rPr>
        <w:t>atkalpieslēgšanu</w:t>
      </w:r>
      <w:proofErr w:type="spellEnd"/>
      <w:r w:rsidRPr="008E072B">
        <w:rPr>
          <w:rFonts w:ascii="Times New Roman" w:hAnsi="Times New Roman" w:cs="Times New Roman"/>
          <w:sz w:val="24"/>
          <w:szCs w:val="24"/>
        </w:rPr>
        <w:t xml:space="preserve"> atbilstoši elektroenerģijas sistēmas atjaunošanas plānā minētajām prasībām, palaižot ģeneratoru bez ārējā sprieguma saņemšanas ne vēlāk kā 60 minūšu laikā pēc pārvades sistēmas operatora dispečera rīkojuma saņemšanas sistēmas </w:t>
      </w:r>
      <w:proofErr w:type="spellStart"/>
      <w:r w:rsidRPr="008E072B">
        <w:rPr>
          <w:rFonts w:ascii="Times New Roman" w:hAnsi="Times New Roman" w:cs="Times New Roman"/>
          <w:sz w:val="24"/>
          <w:szCs w:val="24"/>
        </w:rPr>
        <w:t>palīgpakapojuma</w:t>
      </w:r>
      <w:proofErr w:type="spellEnd"/>
      <w:r w:rsidRPr="008E072B">
        <w:rPr>
          <w:rFonts w:ascii="Times New Roman" w:hAnsi="Times New Roman" w:cs="Times New Roman"/>
          <w:sz w:val="24"/>
          <w:szCs w:val="24"/>
        </w:rPr>
        <w:t xml:space="preserve"> līgumā noteiktajā kārtībā. </w:t>
      </w:r>
    </w:p>
    <w:p w:rsidR="008E072B" w:rsidRPr="008E072B" w:rsidRDefault="008E072B" w:rsidP="008E072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8E072B">
        <w:rPr>
          <w:rFonts w:ascii="Times New Roman" w:hAnsi="Times New Roman" w:cs="Times New Roman"/>
          <w:sz w:val="24"/>
          <w:szCs w:val="24"/>
        </w:rPr>
        <w:t xml:space="preserve"> Atjaunošanas pakalpojumu sniedzēju barošanas avotu, kam ir spēja atjaunot darbību pēc izslēgšanās, ātrās </w:t>
      </w:r>
      <w:proofErr w:type="spellStart"/>
      <w:r w:rsidRPr="008E072B">
        <w:rPr>
          <w:rFonts w:ascii="Times New Roman" w:hAnsi="Times New Roman" w:cs="Times New Roman"/>
          <w:sz w:val="24"/>
          <w:szCs w:val="24"/>
        </w:rPr>
        <w:t>resinhronizācijas</w:t>
      </w:r>
      <w:proofErr w:type="spellEnd"/>
      <w:r w:rsidRPr="008E072B">
        <w:rPr>
          <w:rFonts w:ascii="Times New Roman" w:hAnsi="Times New Roman" w:cs="Times New Roman"/>
          <w:sz w:val="24"/>
          <w:szCs w:val="24"/>
        </w:rPr>
        <w:t xml:space="preserve"> spēja (izmantojot pašpatēriņa režīmu) un spēja darboties izolētā režīmā, ģeogrāfiskais </w:t>
      </w:r>
      <w:proofErr w:type="spellStart"/>
      <w:r w:rsidRPr="008E072B">
        <w:rPr>
          <w:rFonts w:ascii="Times New Roman" w:hAnsi="Times New Roman" w:cs="Times New Roman"/>
          <w:sz w:val="24"/>
          <w:szCs w:val="24"/>
        </w:rPr>
        <w:t>mērķsadalījums</w:t>
      </w:r>
      <w:proofErr w:type="spellEnd"/>
      <w:r w:rsidRPr="008E072B">
        <w:rPr>
          <w:rFonts w:ascii="Times New Roman" w:hAnsi="Times New Roman" w:cs="Times New Roman"/>
          <w:sz w:val="24"/>
          <w:szCs w:val="24"/>
        </w:rPr>
        <w:t xml:space="preserve">: pārvades sistēmas operatora licences darbības zona ir uzskatāma par vienu atjaunošanas reģionu, kurā ir jābūt vismaz diviem barošanas avotiem ar spēju palaisties no izslēgta stāvokļa. </w:t>
      </w:r>
    </w:p>
    <w:p w:rsidR="008E072B" w:rsidRPr="008E072B" w:rsidRDefault="008E072B" w:rsidP="008E072B">
      <w:pPr>
        <w:jc w:val="both"/>
        <w:rPr>
          <w:rFonts w:ascii="Times New Roman" w:hAnsi="Times New Roman" w:cs="Times New Roman"/>
          <w:sz w:val="24"/>
          <w:szCs w:val="24"/>
        </w:rPr>
      </w:pPr>
    </w:p>
    <w:p w:rsidR="008E072B" w:rsidRPr="008E072B" w:rsidRDefault="008E072B" w:rsidP="008E072B">
      <w:pPr>
        <w:jc w:val="center"/>
        <w:rPr>
          <w:rFonts w:ascii="Times New Roman" w:hAnsi="Times New Roman" w:cs="Times New Roman"/>
          <w:sz w:val="32"/>
          <w:szCs w:val="32"/>
        </w:rPr>
      </w:pPr>
    </w:p>
    <w:sectPr w:rsidR="008E072B" w:rsidRPr="008E07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67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2015524"/>
    <w:multiLevelType w:val="hybridMultilevel"/>
    <w:tmpl w:val="5944E08E"/>
    <w:lvl w:ilvl="0" w:tplc="2BCEC8E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2B"/>
    <w:rsid w:val="004A47AC"/>
    <w:rsid w:val="005766AC"/>
    <w:rsid w:val="008E072B"/>
    <w:rsid w:val="009C055F"/>
    <w:rsid w:val="00D17A64"/>
    <w:rsid w:val="00E77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72B"/>
    <w:pPr>
      <w:ind w:left="720"/>
      <w:contextualSpacing/>
    </w:pPr>
  </w:style>
  <w:style w:type="character" w:styleId="CommentReference">
    <w:name w:val="annotation reference"/>
    <w:basedOn w:val="DefaultParagraphFont"/>
    <w:uiPriority w:val="99"/>
    <w:semiHidden/>
    <w:unhideWhenUsed/>
    <w:rsid w:val="008E072B"/>
    <w:rPr>
      <w:sz w:val="16"/>
      <w:szCs w:val="16"/>
    </w:rPr>
  </w:style>
  <w:style w:type="paragraph" w:styleId="CommentText">
    <w:name w:val="annotation text"/>
    <w:basedOn w:val="Normal"/>
    <w:link w:val="CommentTextChar"/>
    <w:uiPriority w:val="99"/>
    <w:semiHidden/>
    <w:unhideWhenUsed/>
    <w:rsid w:val="008E072B"/>
    <w:pPr>
      <w:spacing w:line="240" w:lineRule="auto"/>
    </w:pPr>
    <w:rPr>
      <w:sz w:val="20"/>
      <w:szCs w:val="20"/>
    </w:rPr>
  </w:style>
  <w:style w:type="character" w:customStyle="1" w:styleId="CommentTextChar">
    <w:name w:val="Comment Text Char"/>
    <w:basedOn w:val="DefaultParagraphFont"/>
    <w:link w:val="CommentText"/>
    <w:uiPriority w:val="99"/>
    <w:semiHidden/>
    <w:rsid w:val="008E072B"/>
    <w:rPr>
      <w:sz w:val="20"/>
      <w:szCs w:val="20"/>
    </w:rPr>
  </w:style>
  <w:style w:type="paragraph" w:styleId="CommentSubject">
    <w:name w:val="annotation subject"/>
    <w:basedOn w:val="CommentText"/>
    <w:next w:val="CommentText"/>
    <w:link w:val="CommentSubjectChar"/>
    <w:uiPriority w:val="99"/>
    <w:semiHidden/>
    <w:unhideWhenUsed/>
    <w:rsid w:val="008E072B"/>
    <w:rPr>
      <w:b/>
      <w:bCs/>
    </w:rPr>
  </w:style>
  <w:style w:type="character" w:customStyle="1" w:styleId="CommentSubjectChar">
    <w:name w:val="Comment Subject Char"/>
    <w:basedOn w:val="CommentTextChar"/>
    <w:link w:val="CommentSubject"/>
    <w:uiPriority w:val="99"/>
    <w:semiHidden/>
    <w:rsid w:val="008E072B"/>
    <w:rPr>
      <w:b/>
      <w:bCs/>
      <w:sz w:val="20"/>
      <w:szCs w:val="20"/>
    </w:rPr>
  </w:style>
  <w:style w:type="paragraph" w:styleId="BalloonText">
    <w:name w:val="Balloon Text"/>
    <w:basedOn w:val="Normal"/>
    <w:link w:val="BalloonTextChar"/>
    <w:uiPriority w:val="99"/>
    <w:semiHidden/>
    <w:unhideWhenUsed/>
    <w:rsid w:val="008E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72B"/>
    <w:rPr>
      <w:rFonts w:ascii="Tahoma" w:hAnsi="Tahoma" w:cs="Tahoma"/>
      <w:sz w:val="16"/>
      <w:szCs w:val="16"/>
    </w:rPr>
  </w:style>
  <w:style w:type="character" w:styleId="Strong">
    <w:name w:val="Strong"/>
    <w:basedOn w:val="DefaultParagraphFont"/>
    <w:uiPriority w:val="22"/>
    <w:qFormat/>
    <w:rsid w:val="009C055F"/>
    <w:rPr>
      <w:b/>
      <w:bCs/>
    </w:rPr>
  </w:style>
  <w:style w:type="table" w:styleId="TableGrid">
    <w:name w:val="Table Grid"/>
    <w:basedOn w:val="TableNormal"/>
    <w:uiPriority w:val="59"/>
    <w:rsid w:val="009C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72B"/>
    <w:pPr>
      <w:ind w:left="720"/>
      <w:contextualSpacing/>
    </w:pPr>
  </w:style>
  <w:style w:type="character" w:styleId="CommentReference">
    <w:name w:val="annotation reference"/>
    <w:basedOn w:val="DefaultParagraphFont"/>
    <w:uiPriority w:val="99"/>
    <w:semiHidden/>
    <w:unhideWhenUsed/>
    <w:rsid w:val="008E072B"/>
    <w:rPr>
      <w:sz w:val="16"/>
      <w:szCs w:val="16"/>
    </w:rPr>
  </w:style>
  <w:style w:type="paragraph" w:styleId="CommentText">
    <w:name w:val="annotation text"/>
    <w:basedOn w:val="Normal"/>
    <w:link w:val="CommentTextChar"/>
    <w:uiPriority w:val="99"/>
    <w:semiHidden/>
    <w:unhideWhenUsed/>
    <w:rsid w:val="008E072B"/>
    <w:pPr>
      <w:spacing w:line="240" w:lineRule="auto"/>
    </w:pPr>
    <w:rPr>
      <w:sz w:val="20"/>
      <w:szCs w:val="20"/>
    </w:rPr>
  </w:style>
  <w:style w:type="character" w:customStyle="1" w:styleId="CommentTextChar">
    <w:name w:val="Comment Text Char"/>
    <w:basedOn w:val="DefaultParagraphFont"/>
    <w:link w:val="CommentText"/>
    <w:uiPriority w:val="99"/>
    <w:semiHidden/>
    <w:rsid w:val="008E072B"/>
    <w:rPr>
      <w:sz w:val="20"/>
      <w:szCs w:val="20"/>
    </w:rPr>
  </w:style>
  <w:style w:type="paragraph" w:styleId="CommentSubject">
    <w:name w:val="annotation subject"/>
    <w:basedOn w:val="CommentText"/>
    <w:next w:val="CommentText"/>
    <w:link w:val="CommentSubjectChar"/>
    <w:uiPriority w:val="99"/>
    <w:semiHidden/>
    <w:unhideWhenUsed/>
    <w:rsid w:val="008E072B"/>
    <w:rPr>
      <w:b/>
      <w:bCs/>
    </w:rPr>
  </w:style>
  <w:style w:type="character" w:customStyle="1" w:styleId="CommentSubjectChar">
    <w:name w:val="Comment Subject Char"/>
    <w:basedOn w:val="CommentTextChar"/>
    <w:link w:val="CommentSubject"/>
    <w:uiPriority w:val="99"/>
    <w:semiHidden/>
    <w:rsid w:val="008E072B"/>
    <w:rPr>
      <w:b/>
      <w:bCs/>
      <w:sz w:val="20"/>
      <w:szCs w:val="20"/>
    </w:rPr>
  </w:style>
  <w:style w:type="paragraph" w:styleId="BalloonText">
    <w:name w:val="Balloon Text"/>
    <w:basedOn w:val="Normal"/>
    <w:link w:val="BalloonTextChar"/>
    <w:uiPriority w:val="99"/>
    <w:semiHidden/>
    <w:unhideWhenUsed/>
    <w:rsid w:val="008E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72B"/>
    <w:rPr>
      <w:rFonts w:ascii="Tahoma" w:hAnsi="Tahoma" w:cs="Tahoma"/>
      <w:sz w:val="16"/>
      <w:szCs w:val="16"/>
    </w:rPr>
  </w:style>
  <w:style w:type="character" w:styleId="Strong">
    <w:name w:val="Strong"/>
    <w:basedOn w:val="DefaultParagraphFont"/>
    <w:uiPriority w:val="22"/>
    <w:qFormat/>
    <w:rsid w:val="009C055F"/>
    <w:rPr>
      <w:b/>
      <w:bCs/>
    </w:rPr>
  </w:style>
  <w:style w:type="table" w:styleId="TableGrid">
    <w:name w:val="Table Grid"/>
    <w:basedOn w:val="TableNormal"/>
    <w:uiPriority w:val="59"/>
    <w:rsid w:val="009C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3218</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Mūrniece</dc:creator>
  <cp:lastModifiedBy>Zane Mūrniece</cp:lastModifiedBy>
  <cp:revision>3</cp:revision>
  <dcterms:created xsi:type="dcterms:W3CDTF">2018-11-16T12:17:00Z</dcterms:created>
  <dcterms:modified xsi:type="dcterms:W3CDTF">2018-11-16T12:57:00Z</dcterms:modified>
</cp:coreProperties>
</file>