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E7" w:rsidRPr="00F11EA3" w:rsidRDefault="00220566" w:rsidP="002853E5">
      <w:pPr>
        <w:jc w:val="center"/>
        <w:rPr>
          <w:rFonts w:ascii="Times New Roman" w:hAnsi="Times New Roman" w:cs="Times New Roman"/>
        </w:rPr>
      </w:pPr>
      <w:bookmarkStart w:id="0" w:name="_GoBack"/>
      <w:bookmarkEnd w:id="0"/>
    </w:p>
    <w:p w:rsidR="004B5FB9" w:rsidRPr="00F11EA3" w:rsidRDefault="00220566" w:rsidP="002853E5">
      <w:pPr>
        <w:jc w:val="center"/>
        <w:rPr>
          <w:rFonts w:ascii="Times New Roman" w:hAnsi="Times New Roman" w:cs="Times New Roman"/>
        </w:rPr>
      </w:pPr>
    </w:p>
    <w:p w:rsidR="00122FA1" w:rsidRPr="00F11EA3" w:rsidRDefault="00220566" w:rsidP="002853E5">
      <w:pPr>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3402"/>
      </w:tblGrid>
      <w:tr w:rsidR="00CC312F" w:rsidTr="00456702">
        <w:tc>
          <w:tcPr>
            <w:tcW w:w="2235" w:type="dxa"/>
          </w:tcPr>
          <w:p w:rsidR="00B12680" w:rsidRPr="00F11EA3" w:rsidRDefault="00220566" w:rsidP="00D413BB">
            <w:pPr>
              <w:rPr>
                <w:rFonts w:ascii="Times New Roman" w:hAnsi="Times New Roman" w:cs="Times New Roman"/>
              </w:rPr>
            </w:pPr>
            <w:r w:rsidRPr="00F11EA3">
              <w:rPr>
                <w:rFonts w:ascii="Times New Roman" w:hAnsi="Times New Roman" w:cs="Times New Roman"/>
              </w:rPr>
              <w:t>05.02.2019.</w:t>
            </w:r>
          </w:p>
        </w:tc>
        <w:tc>
          <w:tcPr>
            <w:tcW w:w="3402" w:type="dxa"/>
          </w:tcPr>
          <w:p w:rsidR="00B12680" w:rsidRPr="00F11EA3" w:rsidRDefault="00220566" w:rsidP="0071701B">
            <w:pPr>
              <w:rPr>
                <w:rFonts w:ascii="Times New Roman" w:hAnsi="Times New Roman" w:cs="Times New Roman"/>
              </w:rPr>
            </w:pPr>
            <w:r w:rsidRPr="00F11EA3">
              <w:rPr>
                <w:rFonts w:ascii="Times New Roman" w:hAnsi="Times New Roman" w:cs="Times New Roman"/>
              </w:rPr>
              <w:t>Nr. 2.5/2019/522</w:t>
            </w:r>
          </w:p>
        </w:tc>
      </w:tr>
    </w:tbl>
    <w:p w:rsidR="001419F0" w:rsidRPr="00F11EA3" w:rsidRDefault="00220566" w:rsidP="001419F0">
      <w:pPr>
        <w:rPr>
          <w:rFonts w:ascii="Times New Roman" w:hAnsi="Times New Roman" w:cs="Times New Roman"/>
        </w:rPr>
      </w:pPr>
      <w:r w:rsidRPr="00F11EA3">
        <w:rPr>
          <w:rFonts w:ascii="Times New Roman" w:hAnsi="Times New Roman" w:cs="Times New Roman"/>
        </w:rPr>
        <w:t xml:space="preserve"> </w:t>
      </w:r>
    </w:p>
    <w:tbl>
      <w:tblPr>
        <w:tblStyle w:val="TableGrid"/>
        <w:tblW w:w="4678"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C312F" w:rsidTr="000F7C06">
        <w:tc>
          <w:tcPr>
            <w:tcW w:w="4678" w:type="dxa"/>
          </w:tcPr>
          <w:p w:rsidR="001419F0" w:rsidRPr="00F11EA3" w:rsidRDefault="00220566" w:rsidP="00684E60">
            <w:pPr>
              <w:jc w:val="right"/>
              <w:rPr>
                <w:rFonts w:ascii="Times New Roman" w:hAnsi="Times New Roman" w:cs="Times New Roman"/>
              </w:rPr>
            </w:pPr>
            <w:r w:rsidRPr="00F11EA3">
              <w:rPr>
                <w:rFonts w:ascii="Times New Roman" w:hAnsi="Times New Roman" w:cs="Times New Roman"/>
              </w:rPr>
              <w:t>Sarunu procedūras pretendentiem</w:t>
            </w:r>
          </w:p>
        </w:tc>
      </w:tr>
    </w:tbl>
    <w:p w:rsidR="001419F0" w:rsidRPr="00F11EA3" w:rsidRDefault="00220566" w:rsidP="00D413BB">
      <w:pPr>
        <w:rPr>
          <w:rFonts w:ascii="Times New Roman" w:hAnsi="Times New Roman" w:cs="Times New Roman"/>
        </w:rPr>
      </w:pPr>
    </w:p>
    <w:p w:rsidR="00772C36" w:rsidRPr="00F11EA3" w:rsidRDefault="00220566" w:rsidP="00EE263B">
      <w:pPr>
        <w:jc w:val="both"/>
        <w:rPr>
          <w:rFonts w:ascii="Times New Roman" w:hAnsi="Times New Roman" w:cs="Times New Roman"/>
        </w:rPr>
      </w:pPr>
      <w:r w:rsidRPr="00F11EA3">
        <w:rPr>
          <w:rFonts w:ascii="Times New Roman" w:hAnsi="Times New Roman" w:cs="Times New Roman"/>
        </w:rPr>
        <w:t>Par sarunu procedūru Nr.AST2018/118 "Datu analīzes platformas ieviešana un uzturēšana" - atbildes uz pretendentu jautājumiem un grozījumi nolikumā</w:t>
      </w:r>
    </w:p>
    <w:p w:rsidR="00684E60" w:rsidRPr="00EE263B" w:rsidRDefault="00220566" w:rsidP="00EE263B">
      <w:pPr>
        <w:autoSpaceDE w:val="0"/>
        <w:autoSpaceDN w:val="0"/>
        <w:adjustRightInd w:val="0"/>
        <w:spacing w:after="240" w:line="240" w:lineRule="auto"/>
        <w:ind w:firstLine="720"/>
        <w:jc w:val="both"/>
        <w:rPr>
          <w:rFonts w:ascii="Times New Roman" w:hAnsi="Times New Roman" w:cs="Times New Roman"/>
          <w:color w:val="000000"/>
        </w:rPr>
      </w:pPr>
      <w:r w:rsidRPr="00EE263B">
        <w:rPr>
          <w:rFonts w:ascii="Times New Roman" w:hAnsi="Times New Roman" w:cs="Times New Roman"/>
          <w:color w:val="000000"/>
        </w:rPr>
        <w:t>Ļ. cien. dāmas / a. god. kungi!</w:t>
      </w:r>
    </w:p>
    <w:p w:rsidR="00684E60" w:rsidRPr="00EE263B" w:rsidRDefault="00220566" w:rsidP="00EE263B">
      <w:pPr>
        <w:autoSpaceDE w:val="0"/>
        <w:autoSpaceDN w:val="0"/>
        <w:adjustRightInd w:val="0"/>
        <w:spacing w:after="240" w:line="240" w:lineRule="auto"/>
        <w:ind w:firstLine="720"/>
        <w:jc w:val="both"/>
        <w:rPr>
          <w:rFonts w:ascii="Times New Roman" w:hAnsi="Times New Roman" w:cs="Times New Roman"/>
        </w:rPr>
      </w:pPr>
      <w:r w:rsidRPr="00EE263B">
        <w:rPr>
          <w:rFonts w:ascii="Times New Roman" w:hAnsi="Times New Roman" w:cs="Times New Roman"/>
        </w:rPr>
        <w:t xml:space="preserve">Ar šo </w:t>
      </w:r>
      <w:r w:rsidRPr="00EE263B">
        <w:rPr>
          <w:rFonts w:ascii="Times New Roman" w:hAnsi="Times New Roman" w:cs="Times New Roman"/>
        </w:rPr>
        <w:t>vēstuli sniedzam atbildes uz pretendentu jautājumiem par sarunu procedūru.</w:t>
      </w:r>
    </w:p>
    <w:p w:rsidR="00EE263B" w:rsidRPr="00EE263B" w:rsidRDefault="00220566" w:rsidP="00EE263B">
      <w:pPr>
        <w:autoSpaceDE w:val="0"/>
        <w:autoSpaceDN w:val="0"/>
        <w:adjustRightInd w:val="0"/>
        <w:spacing w:after="240" w:line="240" w:lineRule="auto"/>
        <w:ind w:firstLine="720"/>
        <w:jc w:val="center"/>
        <w:rPr>
          <w:rFonts w:ascii="Times New Roman" w:hAnsi="Times New Roman" w:cs="Times New Roman"/>
          <w:color w:val="000000"/>
        </w:rPr>
      </w:pPr>
      <w:r w:rsidRPr="00EE263B">
        <w:rPr>
          <w:rFonts w:ascii="Times New Roman" w:hAnsi="Times New Roman" w:cs="Times New Roman"/>
        </w:rPr>
        <w:t>Šis pielikums ir sarunu procedūras Nr.AST2018/118 nolikuma sastāvdaļa.</w:t>
      </w:r>
    </w:p>
    <w:p w:rsidR="00684E60" w:rsidRPr="00EE263B" w:rsidRDefault="00220566" w:rsidP="00EE263B">
      <w:pPr>
        <w:ind w:firstLine="709"/>
        <w:jc w:val="both"/>
        <w:rPr>
          <w:rFonts w:ascii="Times New Roman" w:hAnsi="Times New Roman" w:cs="Times New Roman"/>
        </w:rPr>
      </w:pPr>
      <w:r w:rsidRPr="00EE263B">
        <w:rPr>
          <w:rFonts w:ascii="Times New Roman" w:hAnsi="Times New Roman" w:cs="Times New Roman"/>
          <w:b/>
        </w:rPr>
        <w:t>1.</w:t>
      </w:r>
      <w:r w:rsidRPr="00EE263B">
        <w:rPr>
          <w:rFonts w:ascii="Times New Roman" w:hAnsi="Times New Roman" w:cs="Times New Roman"/>
        </w:rPr>
        <w:t xml:space="preserve"> Jautājums: UI-1, UI-3, UI-4 kontekstā - Vai par atbilstošu tiks uzskatīts BI risinājums, kas lielāko daļu l</w:t>
      </w:r>
      <w:r w:rsidRPr="00EE263B">
        <w:rPr>
          <w:rFonts w:ascii="Times New Roman" w:hAnsi="Times New Roman" w:cs="Times New Roman"/>
        </w:rPr>
        <w:t>ietotāju saskarni nodrošina ar grafisku (pašsaprotamu) ikonu palīdzību un satur minimālu vārdu krājumu angļu valodā, kā piemēram, OK, Cancel, Login, Refresh, Filter? Jāpiebilst, ka runa ir par risinājumu, ko citas Latvijas valsts institūcijas un valsts akc</w:t>
      </w:r>
      <w:r w:rsidRPr="00EE263B">
        <w:rPr>
          <w:rFonts w:ascii="Times New Roman" w:hAnsi="Times New Roman" w:cs="Times New Roman"/>
        </w:rPr>
        <w:t>ijas sabiedrības izmanto un dodot piekļuvi parastajiem lietotājiem, kā piemēram, instalācija ar 3000 parastajiem lietotājiem, vai vairākas instalācijas, kas pārsniedz 100 parastos lietotājus.</w:t>
      </w:r>
    </w:p>
    <w:p w:rsidR="00684E60" w:rsidRPr="00F11EA3" w:rsidRDefault="00220566" w:rsidP="00EE263B">
      <w:pPr>
        <w:ind w:firstLine="709"/>
        <w:jc w:val="both"/>
        <w:rPr>
          <w:rFonts w:ascii="Times New Roman" w:hAnsi="Times New Roman" w:cs="Times New Roman"/>
        </w:rPr>
      </w:pPr>
      <w:r w:rsidRPr="00F11EA3">
        <w:rPr>
          <w:rFonts w:ascii="Times New Roman" w:hAnsi="Times New Roman" w:cs="Times New Roman"/>
          <w:i/>
          <w:iCs/>
        </w:rPr>
        <w:t xml:space="preserve">Atbilde: Jā, BI risinājums, kas lielāko daļu lietotāju saskarni </w:t>
      </w:r>
      <w:r w:rsidRPr="00F11EA3">
        <w:rPr>
          <w:rFonts w:ascii="Times New Roman" w:hAnsi="Times New Roman" w:cs="Times New Roman"/>
          <w:i/>
          <w:iCs/>
        </w:rPr>
        <w:t>nodrošina ar grafisku (pašsaprotamu) ikonu palīdzību un satur minimālu vārdu krājumu angļu valodā, tiks uzskatīts par atbilstošu UI-1, UI-3 un UI-4 prasības kontekstā. Būtiski ir nodrošināt atskaišu un vadības paneļu elementu (uzvednes, virsraksti, u.c.) n</w:t>
      </w:r>
      <w:r w:rsidRPr="00F11EA3">
        <w:rPr>
          <w:rFonts w:ascii="Times New Roman" w:hAnsi="Times New Roman" w:cs="Times New Roman"/>
          <w:i/>
          <w:iCs/>
        </w:rPr>
        <w:t>osaukumu izmantošanu/ievadīšanu latviešu valodā.</w:t>
      </w:r>
    </w:p>
    <w:p w:rsidR="00684E60" w:rsidRPr="00F11EA3" w:rsidRDefault="00220566" w:rsidP="00EE263B">
      <w:pPr>
        <w:ind w:firstLine="709"/>
        <w:jc w:val="both"/>
        <w:rPr>
          <w:rFonts w:ascii="Times New Roman" w:hAnsi="Times New Roman" w:cs="Times New Roman"/>
        </w:rPr>
      </w:pPr>
      <w:r w:rsidRPr="00EE263B">
        <w:rPr>
          <w:rFonts w:ascii="Times New Roman" w:hAnsi="Times New Roman" w:cs="Times New Roman"/>
          <w:b/>
        </w:rPr>
        <w:t>2.</w:t>
      </w:r>
      <w:r w:rsidRPr="00F11EA3">
        <w:rPr>
          <w:rFonts w:ascii="Times New Roman" w:hAnsi="Times New Roman" w:cs="Times New Roman"/>
        </w:rPr>
        <w:t xml:space="preserve"> Jautājums: UI-5 un UI-6 kontekstā- kā AST idejiski sagaidītu "responsive design" 3. pielikuma (Peļņas vai zaudējumu aprēķina (vadības) paraugs) gadījumā, līdzīgi domājot arī par pārējiem paraugiem? Vai ar to tiek saprasts, ka mobilajā ierīcē tabula saglab</w:t>
      </w:r>
      <w:r w:rsidRPr="00F11EA3">
        <w:rPr>
          <w:rFonts w:ascii="Times New Roman" w:hAnsi="Times New Roman" w:cs="Times New Roman"/>
        </w:rPr>
        <w:t>ā savu formatējumu ar iespēju samazināt/palielināt izšķirtspēju (zoom-in, zoom-out)?</w:t>
      </w:r>
    </w:p>
    <w:p w:rsidR="009A2448" w:rsidRPr="00F11EA3" w:rsidRDefault="00220566" w:rsidP="00EE263B">
      <w:pPr>
        <w:ind w:firstLine="709"/>
        <w:jc w:val="both"/>
        <w:rPr>
          <w:rFonts w:ascii="Times New Roman" w:hAnsi="Times New Roman" w:cs="Times New Roman"/>
        </w:rPr>
      </w:pPr>
      <w:r w:rsidRPr="00F11EA3">
        <w:rPr>
          <w:rFonts w:ascii="Times New Roman" w:hAnsi="Times New Roman" w:cs="Times New Roman"/>
          <w:i/>
          <w:iCs/>
        </w:rPr>
        <w:t>Atbilde: Jā, viens no iespējamiem risinājumiem var būt, ka mobilajā ierīcē tabula saglabā savu formatējumu ar iespēju samazināt/palielināt izšķirtspēju (zoom-in, zoom-out)</w:t>
      </w:r>
      <w:r w:rsidRPr="00F11EA3">
        <w:rPr>
          <w:rFonts w:ascii="Times New Roman" w:hAnsi="Times New Roman" w:cs="Times New Roman"/>
          <w:i/>
          <w:iCs/>
        </w:rPr>
        <w:t>. Informējam, ka responsīvais dizains ir primāri nepieciešams dažāda veida vadības pārskatu (management dashboards) attēlošanai mobilajās ierīcēs.</w:t>
      </w:r>
    </w:p>
    <w:p w:rsidR="00684E60" w:rsidRPr="00F11EA3" w:rsidRDefault="00220566" w:rsidP="00EE263B">
      <w:pPr>
        <w:ind w:firstLine="709"/>
        <w:jc w:val="both"/>
        <w:rPr>
          <w:rFonts w:ascii="Times New Roman" w:hAnsi="Times New Roman" w:cs="Times New Roman"/>
        </w:rPr>
      </w:pPr>
      <w:r w:rsidRPr="00EE263B">
        <w:rPr>
          <w:rFonts w:ascii="Times New Roman" w:hAnsi="Times New Roman" w:cs="Times New Roman"/>
          <w:b/>
        </w:rPr>
        <w:t>3.</w:t>
      </w:r>
      <w:r w:rsidRPr="00F11EA3">
        <w:rPr>
          <w:rFonts w:ascii="Times New Roman" w:hAnsi="Times New Roman" w:cs="Times New Roman"/>
        </w:rPr>
        <w:t xml:space="preserve"> Jautājums: Nolikumā pievienotā līguma sagatave neiekļauj licenču iegādi. To parasti veic atsevišķi, uzsāko</w:t>
      </w:r>
      <w:r w:rsidRPr="00F11EA3">
        <w:rPr>
          <w:rFonts w:ascii="Times New Roman" w:hAnsi="Times New Roman" w:cs="Times New Roman"/>
        </w:rPr>
        <w:t>t projektu, lai būtu pieejams ražotāja tehniskais atbalsts un jauninājumi. Vai mēs pareizi saprotam, ka AST licenču iegādi paredz veikt kā atsevišķu darījumu zem šī konkursa ar vienkāršotu licenču piegādes līgumu (jāņem vērā, ka Pircējam jāuzņemas saistība</w:t>
      </w:r>
      <w:r w:rsidRPr="00F11EA3">
        <w:rPr>
          <w:rFonts w:ascii="Times New Roman" w:hAnsi="Times New Roman" w:cs="Times New Roman"/>
        </w:rPr>
        <w:t>s ievērot programmatūras ražotāja noteiktos licencēšanas noteikumus)?</w:t>
      </w:r>
    </w:p>
    <w:p w:rsidR="00684E60" w:rsidRPr="00F11EA3" w:rsidRDefault="00220566" w:rsidP="00EE263B">
      <w:pPr>
        <w:ind w:firstLine="709"/>
        <w:jc w:val="both"/>
        <w:rPr>
          <w:rFonts w:ascii="Times New Roman" w:hAnsi="Times New Roman" w:cs="Times New Roman"/>
        </w:rPr>
      </w:pPr>
      <w:r w:rsidRPr="00F11EA3">
        <w:rPr>
          <w:rFonts w:ascii="Times New Roman" w:hAnsi="Times New Roman" w:cs="Times New Roman"/>
          <w:i/>
          <w:iCs/>
        </w:rPr>
        <w:t>Atbilde: Līguma ietvaros paredzēts veikt arī licenču iegādi. Nepieciešamības gadījumā līgumam var tikt pievienoti programmatūras ražotāja noteiktie licencēšanas noteikumi, bet ar nosacīj</w:t>
      </w:r>
      <w:r w:rsidRPr="00F11EA3">
        <w:rPr>
          <w:rFonts w:ascii="Times New Roman" w:hAnsi="Times New Roman" w:cs="Times New Roman"/>
          <w:i/>
          <w:iCs/>
        </w:rPr>
        <w:t>umu, ka tie nav pretrunā ar līgumā noteiktajiem. Līgums paredz, ka 5 gadu laikā no Līguma stāšanās dienas, Pasūtītājs var pasūtīt papildus programmatūras licences, ja tādas nepieciešamas. Šāda papildu licenču pasūtīšana tiek veikta, abpusēji parakstot vien</w:t>
      </w:r>
      <w:r w:rsidRPr="00F11EA3">
        <w:rPr>
          <w:rFonts w:ascii="Times New Roman" w:hAnsi="Times New Roman" w:cs="Times New Roman"/>
          <w:i/>
          <w:iCs/>
        </w:rPr>
        <w:t>ošanos, kurai piemērojami Līguma noteikumi.</w:t>
      </w:r>
    </w:p>
    <w:p w:rsidR="00684E60" w:rsidRPr="00F11EA3" w:rsidRDefault="00220566" w:rsidP="00EE263B">
      <w:pPr>
        <w:ind w:firstLine="709"/>
        <w:jc w:val="both"/>
        <w:rPr>
          <w:rFonts w:ascii="Times New Roman" w:hAnsi="Times New Roman" w:cs="Times New Roman"/>
        </w:rPr>
      </w:pPr>
      <w:r w:rsidRPr="00EE263B">
        <w:rPr>
          <w:rFonts w:ascii="Times New Roman" w:hAnsi="Times New Roman" w:cs="Times New Roman"/>
          <w:b/>
        </w:rPr>
        <w:lastRenderedPageBreak/>
        <w:t>4.</w:t>
      </w:r>
      <w:r w:rsidRPr="00F11EA3">
        <w:rPr>
          <w:rFonts w:ascii="Times New Roman" w:hAnsi="Times New Roman" w:cs="Times New Roman"/>
        </w:rPr>
        <w:t xml:space="preserve"> Jautājums: Pievienotā līguma kontekstā, skatoties 5.5. punktu - ko pasūtītājs domājis ar tiešajiem zaudējumiem, kas izceļas no platformas lietošanas? Vai varētu lūgt vismaz dažus piemērus?</w:t>
      </w:r>
    </w:p>
    <w:p w:rsidR="00684E60" w:rsidRPr="00F11EA3" w:rsidRDefault="00220566" w:rsidP="00EE263B">
      <w:pPr>
        <w:spacing w:after="360"/>
        <w:ind w:firstLine="709"/>
        <w:jc w:val="both"/>
        <w:rPr>
          <w:rFonts w:ascii="Times New Roman" w:hAnsi="Times New Roman" w:cs="Times New Roman"/>
        </w:rPr>
      </w:pPr>
      <w:r w:rsidRPr="00F11EA3">
        <w:rPr>
          <w:rFonts w:ascii="Times New Roman" w:hAnsi="Times New Roman" w:cs="Times New Roman"/>
          <w:i/>
          <w:iCs/>
        </w:rPr>
        <w:t xml:space="preserve">Atbilde: Tie ir </w:t>
      </w:r>
      <w:r w:rsidRPr="00F11EA3">
        <w:rPr>
          <w:rFonts w:ascii="Times New Roman" w:hAnsi="Times New Roman" w:cs="Times New Roman"/>
          <w:i/>
          <w:iCs/>
        </w:rPr>
        <w:t>zaudējumi, kas rodas Izpildītāja darbības vai bezdarbības rezultātā, kas vērsta uz datu analīzes platformu. Piemēram, ja Izpildītājs veidojot atskaites šajā sistēmā, pievieno jaunu datu avotu vai veic kādu citu manipulāciju, kurā ir pieļauta vai radusies k</w:t>
      </w:r>
      <w:r w:rsidRPr="00F11EA3">
        <w:rPr>
          <w:rFonts w:ascii="Times New Roman" w:hAnsi="Times New Roman" w:cs="Times New Roman"/>
          <w:i/>
          <w:iCs/>
        </w:rPr>
        <w:t>ļūda un Pasūtītājs pamatojoties uz šo atskaiti ir pieņēmis nepamatotu (kļūdainu) lēmumu.</w:t>
      </w:r>
    </w:p>
    <w:p w:rsidR="00E629D2" w:rsidRPr="004D34CA" w:rsidRDefault="00220566" w:rsidP="00EE263B">
      <w:pPr>
        <w:tabs>
          <w:tab w:val="left" w:pos="0"/>
          <w:tab w:val="num" w:pos="432"/>
        </w:tabs>
        <w:spacing w:before="60" w:after="60" w:line="264" w:lineRule="auto"/>
        <w:jc w:val="both"/>
        <w:rPr>
          <w:rFonts w:ascii="Times New Roman" w:hAnsi="Times New Roman" w:cs="Times New Roman"/>
        </w:rPr>
      </w:pPr>
      <w:r w:rsidRPr="00F11EA3">
        <w:rPr>
          <w:rFonts w:ascii="Times New Roman" w:hAnsi="Times New Roman" w:cs="Times New Roman"/>
          <w:iCs/>
        </w:rPr>
        <w:tab/>
      </w:r>
      <w:r w:rsidRPr="00F11EA3">
        <w:rPr>
          <w:rFonts w:ascii="Times New Roman" w:hAnsi="Times New Roman" w:cs="Times New Roman"/>
          <w:iCs/>
        </w:rPr>
        <w:tab/>
      </w:r>
      <w:r w:rsidRPr="004D34CA">
        <w:rPr>
          <w:rFonts w:ascii="Times New Roman" w:hAnsi="Times New Roman" w:cs="Times New Roman"/>
          <w:iCs/>
        </w:rPr>
        <w:t>Sarunu procedūras nolikumā tiek veikti šādi grozījumi:</w:t>
      </w:r>
      <w:r w:rsidRPr="004D34CA">
        <w:rPr>
          <w:rFonts w:ascii="Times New Roman" w:hAnsi="Times New Roman" w:cs="Times New Roman"/>
        </w:rPr>
        <w:t xml:space="preserve"> </w:t>
      </w:r>
    </w:p>
    <w:p w:rsidR="00F51940" w:rsidRPr="00F11EA3" w:rsidRDefault="00220566" w:rsidP="00EE263B">
      <w:pPr>
        <w:tabs>
          <w:tab w:val="left" w:pos="0"/>
          <w:tab w:val="num" w:pos="432"/>
        </w:tabs>
        <w:spacing w:before="60" w:after="60" w:line="264" w:lineRule="auto"/>
        <w:jc w:val="both"/>
        <w:rPr>
          <w:rFonts w:ascii="Times New Roman" w:hAnsi="Times New Roman" w:cs="Times New Roman"/>
        </w:rPr>
      </w:pPr>
      <w:r w:rsidRPr="00F11EA3">
        <w:rPr>
          <w:rFonts w:ascii="Times New Roman" w:hAnsi="Times New Roman" w:cs="Times New Roman"/>
        </w:rPr>
        <w:t>Sarunu procedūras nolikuma 12.1.7.punkts:</w:t>
      </w:r>
    </w:p>
    <w:p w:rsidR="00F51940" w:rsidRPr="00F11EA3" w:rsidRDefault="00220566" w:rsidP="00EE263B">
      <w:pPr>
        <w:tabs>
          <w:tab w:val="left" w:pos="0"/>
          <w:tab w:val="num" w:pos="432"/>
        </w:tabs>
        <w:spacing w:before="60" w:after="60" w:line="264" w:lineRule="auto"/>
        <w:jc w:val="both"/>
        <w:rPr>
          <w:rFonts w:ascii="Times New Roman" w:eastAsia="Times New Roman" w:hAnsi="Times New Roman" w:cs="Times New Roman"/>
        </w:rPr>
      </w:pPr>
      <w:r w:rsidRPr="00F11EA3">
        <w:rPr>
          <w:rFonts w:ascii="Times New Roman" w:hAnsi="Times New Roman" w:cs="Times New Roman"/>
        </w:rPr>
        <w:t>"</w:t>
      </w:r>
      <w:r w:rsidRPr="00F11EA3">
        <w:rPr>
          <w:rFonts w:ascii="Times New Roman" w:eastAsia="Times New Roman" w:hAnsi="Times New Roman" w:cs="Times New Roman"/>
        </w:rPr>
        <w:t>Pretendentam pēdējo trīs gadu laikā ir pieredze vismaz piecu līdzv</w:t>
      </w:r>
      <w:r w:rsidRPr="00F11EA3">
        <w:rPr>
          <w:rFonts w:ascii="Times New Roman" w:eastAsia="Times New Roman" w:hAnsi="Times New Roman" w:cs="Times New Roman"/>
        </w:rPr>
        <w:t>ērtīgu vai lielāka mēroga projektu realizācijā, kuri atbilst sekojošām prasībām:</w:t>
      </w:r>
    </w:p>
    <w:p w:rsidR="00F51940" w:rsidRPr="00F51940" w:rsidRDefault="00220566" w:rsidP="00EE263B">
      <w:pPr>
        <w:numPr>
          <w:ilvl w:val="0"/>
          <w:numId w:val="1"/>
        </w:numPr>
        <w:tabs>
          <w:tab w:val="left" w:pos="0"/>
          <w:tab w:val="num" w:pos="432"/>
        </w:tabs>
        <w:spacing w:before="60" w:after="60" w:line="264" w:lineRule="auto"/>
        <w:jc w:val="both"/>
        <w:rPr>
          <w:rFonts w:ascii="Times New Roman" w:eastAsia="Times New Roman" w:hAnsi="Times New Roman" w:cs="Times New Roman"/>
        </w:rPr>
      </w:pPr>
      <w:r w:rsidRPr="00F51940">
        <w:rPr>
          <w:rFonts w:ascii="Times New Roman" w:eastAsia="Times New Roman" w:hAnsi="Times New Roman" w:cs="Times New Roman"/>
        </w:rPr>
        <w:t>vismaz trīs no minētajiem projektiem līgumcena ir ne mazāka kā EUR 100'000,- (viens simts tūkstoši</w:t>
      </w:r>
      <w:r w:rsidRPr="00F51940">
        <w:rPr>
          <w:rFonts w:ascii="Times New Roman" w:eastAsia="Times New Roman" w:hAnsi="Times New Roman" w:cs="Times New Roman"/>
          <w:i/>
        </w:rPr>
        <w:t xml:space="preserve"> euro</w:t>
      </w:r>
      <w:r w:rsidRPr="00F51940">
        <w:rPr>
          <w:rFonts w:ascii="Times New Roman" w:eastAsia="Times New Roman" w:hAnsi="Times New Roman" w:cs="Times New Roman"/>
        </w:rPr>
        <w:t xml:space="preserve">), bez PVN, kur risinājuma lietotāju skaits ir vismaz 50 (piecdesmit) </w:t>
      </w:r>
      <w:r w:rsidRPr="00F51940">
        <w:rPr>
          <w:rFonts w:ascii="Times New Roman" w:eastAsia="Times New Roman" w:hAnsi="Times New Roman" w:cs="Times New Roman"/>
        </w:rPr>
        <w:t>lietotāji;</w:t>
      </w:r>
    </w:p>
    <w:p w:rsidR="00F51940" w:rsidRPr="00F51940" w:rsidRDefault="00220566" w:rsidP="00EE263B">
      <w:pPr>
        <w:numPr>
          <w:ilvl w:val="0"/>
          <w:numId w:val="1"/>
        </w:numPr>
        <w:tabs>
          <w:tab w:val="left" w:pos="0"/>
          <w:tab w:val="num" w:pos="432"/>
        </w:tabs>
        <w:spacing w:before="60" w:after="60" w:line="264" w:lineRule="auto"/>
        <w:jc w:val="both"/>
        <w:rPr>
          <w:rFonts w:ascii="Times New Roman" w:eastAsia="Times New Roman" w:hAnsi="Times New Roman" w:cs="Times New Roman"/>
        </w:rPr>
      </w:pPr>
      <w:r w:rsidRPr="00F51940">
        <w:rPr>
          <w:rFonts w:ascii="Times New Roman" w:eastAsia="Times New Roman" w:hAnsi="Times New Roman" w:cs="Times New Roman"/>
        </w:rPr>
        <w:t>vismaz trīs no minētajiem projektiem jābūt realizētiem, izmantojot piedāvājumā norādīto datu analīzes platformu.</w:t>
      </w:r>
    </w:p>
    <w:p w:rsidR="00F51940" w:rsidRPr="00F11EA3" w:rsidRDefault="00220566" w:rsidP="00EE263B">
      <w:pPr>
        <w:ind w:firstLine="709"/>
        <w:jc w:val="both"/>
        <w:rPr>
          <w:rFonts w:ascii="Times New Roman" w:eastAsia="Times New Roman" w:hAnsi="Times New Roman" w:cs="Times New Roman"/>
        </w:rPr>
      </w:pPr>
      <w:r w:rsidRPr="00F11EA3">
        <w:rPr>
          <w:rFonts w:ascii="Times New Roman" w:eastAsia="Times New Roman" w:hAnsi="Times New Roman" w:cs="Times New Roman"/>
        </w:rPr>
        <w:t>vismaz divos projektos ir veikta finanšu atskaišu realizācija."</w:t>
      </w:r>
    </w:p>
    <w:p w:rsidR="00344024" w:rsidRPr="00F11EA3" w:rsidRDefault="00220566" w:rsidP="00EE263B">
      <w:pPr>
        <w:jc w:val="both"/>
        <w:rPr>
          <w:rFonts w:ascii="Times New Roman" w:hAnsi="Times New Roman" w:cs="Times New Roman"/>
        </w:rPr>
      </w:pPr>
      <w:r w:rsidRPr="00F11EA3">
        <w:rPr>
          <w:rFonts w:ascii="Times New Roman" w:eastAsia="Times New Roman" w:hAnsi="Times New Roman" w:cs="Times New Roman"/>
        </w:rPr>
        <w:t>tiek izteikts šādā redakcijā:</w:t>
      </w:r>
      <w:r w:rsidRPr="00F11EA3">
        <w:rPr>
          <w:rFonts w:ascii="Times New Roman" w:hAnsi="Times New Roman" w:cs="Times New Roman"/>
        </w:rPr>
        <w:t xml:space="preserve"> </w:t>
      </w:r>
    </w:p>
    <w:p w:rsidR="00F51940" w:rsidRPr="00EE263B" w:rsidRDefault="00220566" w:rsidP="00EE263B">
      <w:pPr>
        <w:tabs>
          <w:tab w:val="left" w:pos="0"/>
          <w:tab w:val="num" w:pos="432"/>
        </w:tabs>
        <w:spacing w:before="60" w:after="60" w:line="264" w:lineRule="auto"/>
        <w:jc w:val="both"/>
        <w:rPr>
          <w:rFonts w:ascii="Times New Roman" w:eastAsia="Times New Roman" w:hAnsi="Times New Roman" w:cs="Times New Roman"/>
          <w:i/>
        </w:rPr>
      </w:pPr>
      <w:r w:rsidRPr="00EE263B">
        <w:rPr>
          <w:rFonts w:ascii="Times New Roman" w:hAnsi="Times New Roman" w:cs="Times New Roman"/>
          <w:i/>
        </w:rPr>
        <w:t>"</w:t>
      </w:r>
      <w:r w:rsidRPr="00EE263B">
        <w:rPr>
          <w:rFonts w:ascii="Times New Roman" w:eastAsia="Times New Roman" w:hAnsi="Times New Roman" w:cs="Times New Roman"/>
          <w:i/>
        </w:rPr>
        <w:t xml:space="preserve">Pretendentam pēdējo trīs gadu laikā </w:t>
      </w:r>
      <w:r w:rsidRPr="00EE263B">
        <w:rPr>
          <w:rFonts w:ascii="Times New Roman" w:eastAsia="Times New Roman" w:hAnsi="Times New Roman" w:cs="Times New Roman"/>
          <w:i/>
        </w:rPr>
        <w:t>ir pieredze vismaz piecu līdzvērtīgu vai lielāka mēroga projektu realizācijā, kuri atbilst sekojošām prasībām:</w:t>
      </w:r>
    </w:p>
    <w:p w:rsidR="00F51940" w:rsidRPr="00EE263B" w:rsidRDefault="00220566" w:rsidP="00E9372D">
      <w:pPr>
        <w:numPr>
          <w:ilvl w:val="0"/>
          <w:numId w:val="3"/>
        </w:numPr>
        <w:tabs>
          <w:tab w:val="left" w:pos="0"/>
        </w:tabs>
        <w:spacing w:before="60" w:after="60" w:line="264" w:lineRule="auto"/>
        <w:jc w:val="both"/>
        <w:rPr>
          <w:rFonts w:ascii="Times New Roman" w:eastAsia="Times New Roman" w:hAnsi="Times New Roman" w:cs="Times New Roman"/>
          <w:i/>
        </w:rPr>
      </w:pPr>
      <w:r w:rsidRPr="00EE263B">
        <w:rPr>
          <w:rFonts w:ascii="Times New Roman" w:eastAsia="Times New Roman" w:hAnsi="Times New Roman" w:cs="Times New Roman"/>
          <w:i/>
        </w:rPr>
        <w:t xml:space="preserve">vismaz trīs no minētajiem projektiem līgumcena ir ne mazāka kā EUR </w:t>
      </w:r>
      <w:r w:rsidRPr="00EE263B">
        <w:rPr>
          <w:rFonts w:ascii="Times New Roman" w:eastAsia="Times New Roman" w:hAnsi="Times New Roman" w:cs="Times New Roman"/>
          <w:b/>
          <w:i/>
        </w:rPr>
        <w:t>50'000,-</w:t>
      </w:r>
      <w:r w:rsidRPr="00EE263B">
        <w:rPr>
          <w:rFonts w:ascii="Times New Roman" w:eastAsia="Times New Roman" w:hAnsi="Times New Roman" w:cs="Times New Roman"/>
          <w:i/>
        </w:rPr>
        <w:t xml:space="preserve"> (</w:t>
      </w:r>
      <w:r>
        <w:rPr>
          <w:rFonts w:ascii="Times New Roman" w:eastAsia="Times New Roman" w:hAnsi="Times New Roman" w:cs="Times New Roman"/>
          <w:i/>
        </w:rPr>
        <w:t>piecdesmit</w:t>
      </w:r>
      <w:r w:rsidRPr="00EE263B">
        <w:rPr>
          <w:rFonts w:ascii="Times New Roman" w:eastAsia="Times New Roman" w:hAnsi="Times New Roman" w:cs="Times New Roman"/>
          <w:i/>
        </w:rPr>
        <w:t xml:space="preserve"> tūkstoši euro), bez PVN, kur risinājuma lietotāju skaits </w:t>
      </w:r>
      <w:r w:rsidRPr="00EE263B">
        <w:rPr>
          <w:rFonts w:ascii="Times New Roman" w:eastAsia="Times New Roman" w:hAnsi="Times New Roman" w:cs="Times New Roman"/>
          <w:i/>
        </w:rPr>
        <w:t>ir vismaz 50 (piecdesmit) lietotāji;</w:t>
      </w:r>
    </w:p>
    <w:p w:rsidR="00F51940" w:rsidRPr="00EE263B" w:rsidRDefault="00220566" w:rsidP="00E9372D">
      <w:pPr>
        <w:numPr>
          <w:ilvl w:val="0"/>
          <w:numId w:val="3"/>
        </w:numPr>
        <w:tabs>
          <w:tab w:val="left" w:pos="0"/>
        </w:tabs>
        <w:spacing w:before="60" w:after="60" w:line="264" w:lineRule="auto"/>
        <w:jc w:val="both"/>
        <w:rPr>
          <w:rFonts w:ascii="Times New Roman" w:eastAsia="Times New Roman" w:hAnsi="Times New Roman" w:cs="Times New Roman"/>
          <w:i/>
        </w:rPr>
      </w:pPr>
      <w:r w:rsidRPr="00EE263B">
        <w:rPr>
          <w:rFonts w:ascii="Times New Roman" w:eastAsia="Times New Roman" w:hAnsi="Times New Roman" w:cs="Times New Roman"/>
          <w:i/>
        </w:rPr>
        <w:t>vismaz trīs no minētajiem projektiem jābūt realizētiem, izmantojot piedāvājumā norādīto datu analīzes platformu.</w:t>
      </w:r>
    </w:p>
    <w:p w:rsidR="00F51940" w:rsidRPr="00EE263B" w:rsidRDefault="00220566" w:rsidP="00EE263B">
      <w:pPr>
        <w:ind w:firstLine="709"/>
        <w:jc w:val="both"/>
        <w:rPr>
          <w:rFonts w:ascii="Times New Roman" w:eastAsia="Times New Roman" w:hAnsi="Times New Roman" w:cs="Times New Roman"/>
          <w:i/>
        </w:rPr>
      </w:pPr>
      <w:r w:rsidRPr="00EE263B">
        <w:rPr>
          <w:rFonts w:ascii="Times New Roman" w:eastAsia="Times New Roman" w:hAnsi="Times New Roman" w:cs="Times New Roman"/>
          <w:i/>
        </w:rPr>
        <w:t>vismaz divos projektos ir veikta finanšu atskaišu realizācija."</w:t>
      </w:r>
    </w:p>
    <w:p w:rsidR="00E629D2" w:rsidRPr="00EE263B" w:rsidRDefault="00220566" w:rsidP="00EE263B">
      <w:pPr>
        <w:ind w:firstLine="709"/>
        <w:jc w:val="both"/>
        <w:rPr>
          <w:rFonts w:ascii="Times New Roman" w:hAnsi="Times New Roman" w:cs="Times New Roman"/>
          <w:i/>
        </w:rPr>
      </w:pPr>
      <w:r w:rsidRPr="00EE263B">
        <w:rPr>
          <w:rFonts w:ascii="Times New Roman" w:hAnsi="Times New Roman" w:cs="Times New Roman"/>
          <w:i/>
          <w:iCs/>
        </w:rPr>
        <w:t>Grozījums ir sarunu procedūras nolikuma ne</w:t>
      </w:r>
      <w:r w:rsidRPr="00EE263B">
        <w:rPr>
          <w:rFonts w:ascii="Times New Roman" w:hAnsi="Times New Roman" w:cs="Times New Roman"/>
          <w:i/>
          <w:iCs/>
        </w:rPr>
        <w:t>atņemama sastāvdaļa.</w:t>
      </w:r>
    </w:p>
    <w:p w:rsidR="00D413BB" w:rsidRPr="00F11EA3" w:rsidRDefault="00220566" w:rsidP="00EE263B">
      <w:pPr>
        <w:ind w:firstLine="709"/>
        <w:jc w:val="both"/>
        <w:rPr>
          <w:rFonts w:ascii="Times New Roman" w:hAnsi="Times New Roman" w:cs="Times New Roman"/>
        </w:rPr>
      </w:pPr>
      <w:r w:rsidRPr="00F11EA3">
        <w:rPr>
          <w:rFonts w:ascii="Times New Roman" w:hAnsi="Times New Roman" w:cs="Times New Roman"/>
        </w:rPr>
        <w:t xml:space="preserve">Sarunu procedūrā noteiktais </w:t>
      </w:r>
      <w:r w:rsidRPr="00F11EA3">
        <w:rPr>
          <w:rFonts w:ascii="Times New Roman" w:hAnsi="Times New Roman" w:cs="Times New Roman"/>
          <w:b/>
        </w:rPr>
        <w:t xml:space="preserve">piedāvājumu iesniegšanas termiņš tiek pagarināts līdz 2019. gada 1. martam </w:t>
      </w:r>
      <w:r w:rsidRPr="00F11EA3">
        <w:rPr>
          <w:rFonts w:ascii="Times New Roman" w:hAnsi="Times New Roman" w:cs="Times New Roman"/>
        </w:rPr>
        <w:t xml:space="preserve">pulksten 10.00 (pēc Latvijas laika). Pretendentu piedāvājumi tiks atvērti 2019. gada 1. martā pulksten 10.00 (tūlīt pēc piedāvājumu </w:t>
      </w:r>
      <w:r w:rsidRPr="00F11EA3">
        <w:rPr>
          <w:rFonts w:ascii="Times New Roman" w:hAnsi="Times New Roman" w:cs="Times New Roman"/>
        </w:rPr>
        <w:t xml:space="preserve">iesniegšanas termiņa beigām) AS "Augstsprieguma tīkls", Dārzciema ielā 86, Rīgā, Latvijā, 107. telpā, ieinteresēto personu klātbūtnē. Par derīgu tiks atzīts piedāvājuma nodrošinājums, kas sagatavots, ievērojot sākotnēji sarunu procedūras nolikumā noteikto </w:t>
      </w:r>
      <w:r w:rsidRPr="00F11EA3">
        <w:rPr>
          <w:rFonts w:ascii="Times New Roman" w:hAnsi="Times New Roman" w:cs="Times New Roman"/>
        </w:rPr>
        <w:t>piedāvājumu iesniegšanas termiņu.</w:t>
      </w:r>
    </w:p>
    <w:p w:rsidR="00D413BB" w:rsidRPr="00F11EA3" w:rsidRDefault="00220566" w:rsidP="00EE263B">
      <w:pPr>
        <w:ind w:firstLine="709"/>
        <w:jc w:val="both"/>
        <w:rPr>
          <w:rFonts w:ascii="Times New Roman" w:hAnsi="Times New Roman" w:cs="Times New Roman"/>
        </w:rPr>
      </w:pPr>
      <w:r w:rsidRPr="00F11EA3">
        <w:rPr>
          <w:rFonts w:ascii="Times New Roman" w:hAnsi="Times New Roman" w:cs="Times New Roman"/>
        </w:rPr>
        <w:t>Ar cieņu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5182"/>
      </w:tblGrid>
      <w:tr w:rsidR="00CC312F" w:rsidTr="00F94C42">
        <w:tc>
          <w:tcPr>
            <w:tcW w:w="3297" w:type="dxa"/>
          </w:tcPr>
          <w:p w:rsidR="005168A8" w:rsidRPr="00F11EA3" w:rsidRDefault="00220566">
            <w:pPr>
              <w:rPr>
                <w:rFonts w:ascii="Times New Roman" w:hAnsi="Times New Roman" w:cs="Times New Roman"/>
              </w:rPr>
            </w:pPr>
            <w:r w:rsidRPr="00F11EA3">
              <w:rPr>
                <w:rFonts w:ascii="Times New Roman" w:hAnsi="Times New Roman" w:cs="Times New Roman"/>
              </w:rPr>
              <w:t>Valdes loceklis</w:t>
            </w:r>
          </w:p>
        </w:tc>
        <w:tc>
          <w:tcPr>
            <w:tcW w:w="5182" w:type="dxa"/>
          </w:tcPr>
          <w:p w:rsidR="005168A8" w:rsidRPr="00F11EA3" w:rsidRDefault="00220566" w:rsidP="009129E7">
            <w:pPr>
              <w:spacing w:after="120"/>
              <w:jc w:val="right"/>
              <w:rPr>
                <w:rFonts w:ascii="Times New Roman" w:hAnsi="Times New Roman" w:cs="Times New Roman"/>
              </w:rPr>
            </w:pPr>
            <w:r w:rsidRPr="00F11EA3">
              <w:rPr>
                <w:rFonts w:ascii="Times New Roman" w:hAnsi="Times New Roman" w:cs="Times New Roman"/>
              </w:rPr>
              <w:t>Mārcis Kauliņš</w:t>
            </w:r>
          </w:p>
        </w:tc>
      </w:tr>
      <w:tr w:rsidR="00CC312F" w:rsidTr="00F94C42">
        <w:tc>
          <w:tcPr>
            <w:tcW w:w="3297" w:type="dxa"/>
          </w:tcPr>
          <w:p w:rsidR="00F94C42" w:rsidRPr="00F11EA3" w:rsidRDefault="00220566">
            <w:pPr>
              <w:rPr>
                <w:rFonts w:ascii="Times New Roman" w:hAnsi="Times New Roman" w:cs="Times New Roman"/>
              </w:rPr>
            </w:pPr>
          </w:p>
        </w:tc>
        <w:tc>
          <w:tcPr>
            <w:tcW w:w="5182" w:type="dxa"/>
          </w:tcPr>
          <w:p w:rsidR="00F94C42" w:rsidRPr="00F11EA3" w:rsidRDefault="00220566" w:rsidP="00F94C42">
            <w:pPr>
              <w:jc w:val="right"/>
              <w:rPr>
                <w:rFonts w:ascii="Times New Roman" w:hAnsi="Times New Roman" w:cs="Times New Roman"/>
              </w:rPr>
            </w:pPr>
            <w:r w:rsidRPr="00F11EA3">
              <w:rPr>
                <w:rFonts w:ascii="Times New Roman" w:hAnsi="Times New Roman" w:cs="Times New Roman"/>
              </w:rPr>
              <w:t xml:space="preserve"> </w:t>
            </w:r>
          </w:p>
        </w:tc>
      </w:tr>
    </w:tbl>
    <w:p w:rsidR="00CB59A3" w:rsidRPr="00F11EA3" w:rsidRDefault="00220566">
      <w:pPr>
        <w:rPr>
          <w:rFonts w:ascii="Times New Roman" w:hAnsi="Times New Roman" w:cs="Times New Roman"/>
        </w:rPr>
      </w:pPr>
    </w:p>
    <w:p w:rsidR="00A27D87" w:rsidRPr="00EE263B" w:rsidRDefault="00220566" w:rsidP="00A27D87">
      <w:pPr>
        <w:rPr>
          <w:rFonts w:ascii="Times New Roman" w:hAnsi="Times New Roman" w:cs="Times New Roman"/>
          <w:sz w:val="20"/>
          <w:szCs w:val="20"/>
        </w:rPr>
      </w:pPr>
      <w:r w:rsidRPr="00EE263B">
        <w:rPr>
          <w:rFonts w:ascii="Times New Roman" w:hAnsi="Times New Roman" w:cs="Times New Roman"/>
          <w:sz w:val="20"/>
          <w:szCs w:val="20"/>
        </w:rPr>
        <w:t>Kundziņa 67725238</w:t>
      </w:r>
    </w:p>
    <w:sectPr w:rsidR="00A27D87" w:rsidRPr="00EE263B" w:rsidSect="00EE263B">
      <w:footerReference w:type="default" r:id="rId11"/>
      <w:headerReference w:type="first" r:id="rId12"/>
      <w:footerReference w:type="first" r:id="rId13"/>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20566">
      <w:pPr>
        <w:spacing w:after="0" w:line="240" w:lineRule="auto"/>
      </w:pPr>
      <w:r>
        <w:separator/>
      </w:r>
    </w:p>
  </w:endnote>
  <w:endnote w:type="continuationSeparator" w:id="0">
    <w:p w:rsidR="00000000" w:rsidRDefault="0022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610224"/>
      <w:docPartObj>
        <w:docPartGallery w:val="Page Numbers (Bottom of Page)"/>
        <w:docPartUnique/>
      </w:docPartObj>
    </w:sdtPr>
    <w:sdtEndPr>
      <w:rPr>
        <w:rFonts w:ascii="Times New Roman" w:hAnsi="Times New Roman" w:cs="Times New Roman"/>
        <w:noProof/>
      </w:rPr>
    </w:sdtEndPr>
    <w:sdtContent>
      <w:p w:rsidR="002E38C2" w:rsidRPr="00A41BEB" w:rsidRDefault="00220566">
        <w:pPr>
          <w:pStyle w:val="Footer"/>
          <w:jc w:val="right"/>
          <w:rPr>
            <w:rFonts w:ascii="Times New Roman" w:hAnsi="Times New Roman" w:cs="Times New Roman"/>
          </w:rPr>
        </w:pPr>
        <w:r w:rsidRPr="00A41BEB">
          <w:rPr>
            <w:rFonts w:ascii="Times New Roman" w:hAnsi="Times New Roman" w:cs="Times New Roman"/>
          </w:rPr>
          <w:fldChar w:fldCharType="begin"/>
        </w:r>
        <w:r w:rsidRPr="00A41BEB">
          <w:rPr>
            <w:rFonts w:ascii="Times New Roman" w:hAnsi="Times New Roman" w:cs="Times New Roman"/>
          </w:rPr>
          <w:instrText xml:space="preserve"> PAGE   \* MERGEFORMAT </w:instrText>
        </w:r>
        <w:r w:rsidRPr="00A41BEB">
          <w:rPr>
            <w:rFonts w:ascii="Times New Roman" w:hAnsi="Times New Roman" w:cs="Times New Roman"/>
          </w:rPr>
          <w:fldChar w:fldCharType="separate"/>
        </w:r>
        <w:r>
          <w:rPr>
            <w:rFonts w:ascii="Times New Roman" w:hAnsi="Times New Roman" w:cs="Times New Roman"/>
            <w:noProof/>
          </w:rPr>
          <w:t>2</w:t>
        </w:r>
        <w:r w:rsidRPr="00A41BEB">
          <w:rPr>
            <w:rFonts w:ascii="Times New Roman" w:hAnsi="Times New Roman" w:cs="Times New Roman"/>
            <w:noProof/>
          </w:rPr>
          <w:fldChar w:fldCharType="end"/>
        </w:r>
      </w:p>
    </w:sdtContent>
  </w:sdt>
  <w:p w:rsidR="00A16205" w:rsidRDefault="00220566" w:rsidP="00A16205">
    <w:pPr>
      <w:pStyle w:val="Footer"/>
      <w:jc w:val="center"/>
    </w:pPr>
  </w:p>
  <w:p w:rsidR="00CC312F" w:rsidRDefault="00220566">
    <w:r>
      <w:t xml:space="preserve">          </w:t>
    </w:r>
    <w: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DE5" w:rsidRDefault="00220566">
    <w:pPr>
      <w:pStyle w:val="Footer"/>
    </w:pPr>
    <w:r w:rsidRPr="00D52DE5">
      <w:rPr>
        <w:noProof/>
        <w:lang w:eastAsia="lv-LV"/>
      </w:rPr>
      <w:drawing>
        <wp:anchor distT="0" distB="0" distL="114300" distR="114300" simplePos="0" relativeHeight="251660288" behindDoc="1" locked="0" layoutInCell="1" allowOverlap="1">
          <wp:simplePos x="0" y="0"/>
          <wp:positionH relativeFrom="column">
            <wp:posOffset>4789731</wp:posOffset>
          </wp:positionH>
          <wp:positionV relativeFrom="paragraph">
            <wp:posOffset>-257810</wp:posOffset>
          </wp:positionV>
          <wp:extent cx="648586" cy="681591"/>
          <wp:effectExtent l="0" t="0" r="0" b="0"/>
          <wp:wrapNone/>
          <wp:docPr id="2" name="Picture 2" descr="C:\Users\Austris\Desktop\ast-ultimate-assets-pack-for-letter\veidlapa-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stris\Desktop\ast-ultimate-assets-pack-for-letter\veidlapa-is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8586" cy="681591"/>
                  </a:xfrm>
                  <a:prstGeom prst="rect">
                    <a:avLst/>
                  </a:prstGeom>
                  <a:noFill/>
                  <a:ln>
                    <a:noFill/>
                  </a:ln>
                </pic:spPr>
              </pic:pic>
            </a:graphicData>
          </a:graphic>
        </wp:anchor>
      </w:drawing>
    </w:r>
  </w:p>
  <w:p w:rsidR="00CC312F" w:rsidRDefault="00220566">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20566">
      <w:pPr>
        <w:spacing w:after="0" w:line="240" w:lineRule="auto"/>
      </w:pPr>
      <w:r>
        <w:separator/>
      </w:r>
    </w:p>
  </w:footnote>
  <w:footnote w:type="continuationSeparator" w:id="0">
    <w:p w:rsidR="00000000" w:rsidRDefault="00220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FA1" w:rsidRDefault="00220566" w:rsidP="00122FA1">
    <w:pPr>
      <w:pStyle w:val="Header"/>
    </w:pPr>
    <w:r>
      <w:rPr>
        <w:noProof/>
        <w:lang w:eastAsia="lv-LV"/>
      </w:rPr>
      <w:drawing>
        <wp:anchor distT="0" distB="0" distL="114300" distR="114300" simplePos="0" relativeHeight="251659264" behindDoc="0" locked="0" layoutInCell="1" allowOverlap="1">
          <wp:simplePos x="0" y="0"/>
          <wp:positionH relativeFrom="column">
            <wp:posOffset>1971675</wp:posOffset>
          </wp:positionH>
          <wp:positionV relativeFrom="paragraph">
            <wp:posOffset>245745</wp:posOffset>
          </wp:positionV>
          <wp:extent cx="3800475" cy="409575"/>
          <wp:effectExtent l="0" t="0" r="9525" b="9525"/>
          <wp:wrapNone/>
          <wp:docPr id="12" name="Picture 12" descr="C:\Users\Austris\Desktop\ast-ultimate-assets-pack-for-letter\veidlapa-rekvizi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stris\Desktop\ast-ultimate-assets-pack-for-letter\veidlapa-rekviziti.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800475" cy="409575"/>
                  </a:xfrm>
                  <a:prstGeom prst="rect">
                    <a:avLst/>
                  </a:prstGeom>
                  <a:noFill/>
                  <a:ln>
                    <a:noFill/>
                  </a:ln>
                </pic:spPr>
              </pic:pic>
            </a:graphicData>
          </a:graphic>
        </wp:anchor>
      </w:drawing>
    </w:r>
    <w:r>
      <w:rPr>
        <w:noProof/>
        <w:lang w:eastAsia="lv-LV"/>
      </w:rPr>
      <w:drawing>
        <wp:anchor distT="0" distB="0" distL="114300" distR="114300" simplePos="0" relativeHeight="251658240" behindDoc="1" locked="0" layoutInCell="1" allowOverlap="1">
          <wp:simplePos x="0" y="0"/>
          <wp:positionH relativeFrom="column">
            <wp:posOffset>-19050</wp:posOffset>
          </wp:positionH>
          <wp:positionV relativeFrom="paragraph">
            <wp:posOffset>245745</wp:posOffset>
          </wp:positionV>
          <wp:extent cx="857250" cy="381000"/>
          <wp:effectExtent l="0" t="0" r="0" b="0"/>
          <wp:wrapThrough wrapText="bothSides">
            <wp:wrapPolygon edited="0">
              <wp:start x="0" y="0"/>
              <wp:lineTo x="0" y="20520"/>
              <wp:lineTo x="21120" y="20520"/>
              <wp:lineTo x="21120" y="0"/>
              <wp:lineTo x="0" y="0"/>
            </wp:wrapPolygon>
          </wp:wrapThrough>
          <wp:docPr id="13" name="Picture 13" descr="C:\Users\Austris\Desktop\ast-ultimate-assets-pack-for-letter\veidla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stris\Desktop\ast-ultimate-assets-pack-for-letter\veidlapa-logo.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57250" cy="381000"/>
                  </a:xfrm>
                  <a:prstGeom prst="rect">
                    <a:avLst/>
                  </a:prstGeom>
                  <a:noFill/>
                  <a:ln>
                    <a:noFill/>
                  </a:ln>
                </pic:spPr>
              </pic:pic>
            </a:graphicData>
          </a:graphic>
        </wp:anchor>
      </w:drawing>
    </w:r>
  </w:p>
  <w:p w:rsidR="00122FA1" w:rsidRDefault="00220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C3E"/>
    <w:multiLevelType w:val="hybridMultilevel"/>
    <w:tmpl w:val="B3122ED2"/>
    <w:lvl w:ilvl="0" w:tplc="774C1A24">
      <w:start w:val="1"/>
      <w:numFmt w:val="lowerLetter"/>
      <w:lvlText w:val="%1)"/>
      <w:lvlJc w:val="left"/>
      <w:pPr>
        <w:ind w:left="778" w:hanging="360"/>
      </w:pPr>
    </w:lvl>
    <w:lvl w:ilvl="1" w:tplc="5636D2A4" w:tentative="1">
      <w:start w:val="1"/>
      <w:numFmt w:val="lowerLetter"/>
      <w:lvlText w:val="%2."/>
      <w:lvlJc w:val="left"/>
      <w:pPr>
        <w:ind w:left="1498" w:hanging="360"/>
      </w:pPr>
    </w:lvl>
    <w:lvl w:ilvl="2" w:tplc="80165F32" w:tentative="1">
      <w:start w:val="1"/>
      <w:numFmt w:val="lowerRoman"/>
      <w:lvlText w:val="%3."/>
      <w:lvlJc w:val="right"/>
      <w:pPr>
        <w:ind w:left="2218" w:hanging="180"/>
      </w:pPr>
    </w:lvl>
    <w:lvl w:ilvl="3" w:tplc="9F668BBC" w:tentative="1">
      <w:start w:val="1"/>
      <w:numFmt w:val="decimal"/>
      <w:lvlText w:val="%4."/>
      <w:lvlJc w:val="left"/>
      <w:pPr>
        <w:ind w:left="2938" w:hanging="360"/>
      </w:pPr>
    </w:lvl>
    <w:lvl w:ilvl="4" w:tplc="1480B536" w:tentative="1">
      <w:start w:val="1"/>
      <w:numFmt w:val="lowerLetter"/>
      <w:lvlText w:val="%5."/>
      <w:lvlJc w:val="left"/>
      <w:pPr>
        <w:ind w:left="3658" w:hanging="360"/>
      </w:pPr>
    </w:lvl>
    <w:lvl w:ilvl="5" w:tplc="4F72605A" w:tentative="1">
      <w:start w:val="1"/>
      <w:numFmt w:val="lowerRoman"/>
      <w:lvlText w:val="%6."/>
      <w:lvlJc w:val="right"/>
      <w:pPr>
        <w:ind w:left="4378" w:hanging="180"/>
      </w:pPr>
    </w:lvl>
    <w:lvl w:ilvl="6" w:tplc="BC467F4A" w:tentative="1">
      <w:start w:val="1"/>
      <w:numFmt w:val="decimal"/>
      <w:lvlText w:val="%7."/>
      <w:lvlJc w:val="left"/>
      <w:pPr>
        <w:ind w:left="5098" w:hanging="360"/>
      </w:pPr>
    </w:lvl>
    <w:lvl w:ilvl="7" w:tplc="CA7A66BA" w:tentative="1">
      <w:start w:val="1"/>
      <w:numFmt w:val="lowerLetter"/>
      <w:lvlText w:val="%8."/>
      <w:lvlJc w:val="left"/>
      <w:pPr>
        <w:ind w:left="5818" w:hanging="360"/>
      </w:pPr>
    </w:lvl>
    <w:lvl w:ilvl="8" w:tplc="67C8C954" w:tentative="1">
      <w:start w:val="1"/>
      <w:numFmt w:val="lowerRoman"/>
      <w:lvlText w:val="%9."/>
      <w:lvlJc w:val="right"/>
      <w:pPr>
        <w:ind w:left="6538" w:hanging="180"/>
      </w:pPr>
    </w:lvl>
  </w:abstractNum>
  <w:abstractNum w:abstractNumId="1">
    <w:nsid w:val="4A9573D1"/>
    <w:multiLevelType w:val="hybridMultilevel"/>
    <w:tmpl w:val="0D7CB4A8"/>
    <w:lvl w:ilvl="0" w:tplc="0BD2B49A">
      <w:start w:val="1"/>
      <w:numFmt w:val="lowerLetter"/>
      <w:lvlText w:val="%1)"/>
      <w:lvlJc w:val="left"/>
      <w:pPr>
        <w:ind w:left="778" w:hanging="360"/>
      </w:pPr>
    </w:lvl>
    <w:lvl w:ilvl="1" w:tplc="F26E0414" w:tentative="1">
      <w:start w:val="1"/>
      <w:numFmt w:val="lowerLetter"/>
      <w:lvlText w:val="%2."/>
      <w:lvlJc w:val="left"/>
      <w:pPr>
        <w:ind w:left="1498" w:hanging="360"/>
      </w:pPr>
    </w:lvl>
    <w:lvl w:ilvl="2" w:tplc="B3CAFD66" w:tentative="1">
      <w:start w:val="1"/>
      <w:numFmt w:val="lowerRoman"/>
      <w:lvlText w:val="%3."/>
      <w:lvlJc w:val="right"/>
      <w:pPr>
        <w:ind w:left="2218" w:hanging="180"/>
      </w:pPr>
    </w:lvl>
    <w:lvl w:ilvl="3" w:tplc="D1424A84" w:tentative="1">
      <w:start w:val="1"/>
      <w:numFmt w:val="decimal"/>
      <w:lvlText w:val="%4."/>
      <w:lvlJc w:val="left"/>
      <w:pPr>
        <w:ind w:left="2938" w:hanging="360"/>
      </w:pPr>
    </w:lvl>
    <w:lvl w:ilvl="4" w:tplc="125EE4C8" w:tentative="1">
      <w:start w:val="1"/>
      <w:numFmt w:val="lowerLetter"/>
      <w:lvlText w:val="%5."/>
      <w:lvlJc w:val="left"/>
      <w:pPr>
        <w:ind w:left="3658" w:hanging="360"/>
      </w:pPr>
    </w:lvl>
    <w:lvl w:ilvl="5" w:tplc="4F8E6CD4" w:tentative="1">
      <w:start w:val="1"/>
      <w:numFmt w:val="lowerRoman"/>
      <w:lvlText w:val="%6."/>
      <w:lvlJc w:val="right"/>
      <w:pPr>
        <w:ind w:left="4378" w:hanging="180"/>
      </w:pPr>
    </w:lvl>
    <w:lvl w:ilvl="6" w:tplc="65388DB6" w:tentative="1">
      <w:start w:val="1"/>
      <w:numFmt w:val="decimal"/>
      <w:lvlText w:val="%7."/>
      <w:lvlJc w:val="left"/>
      <w:pPr>
        <w:ind w:left="5098" w:hanging="360"/>
      </w:pPr>
    </w:lvl>
    <w:lvl w:ilvl="7" w:tplc="E6FCEF4A" w:tentative="1">
      <w:start w:val="1"/>
      <w:numFmt w:val="lowerLetter"/>
      <w:lvlText w:val="%8."/>
      <w:lvlJc w:val="left"/>
      <w:pPr>
        <w:ind w:left="5818" w:hanging="360"/>
      </w:pPr>
    </w:lvl>
    <w:lvl w:ilvl="8" w:tplc="71C64C92" w:tentative="1">
      <w:start w:val="1"/>
      <w:numFmt w:val="lowerRoman"/>
      <w:lvlText w:val="%9."/>
      <w:lvlJc w:val="right"/>
      <w:pPr>
        <w:ind w:left="6538" w:hanging="180"/>
      </w:pPr>
    </w:lvl>
  </w:abstractNum>
  <w:abstractNum w:abstractNumId="2">
    <w:nsid w:val="67255597"/>
    <w:multiLevelType w:val="hybridMultilevel"/>
    <w:tmpl w:val="0D7CB4A8"/>
    <w:lvl w:ilvl="0" w:tplc="3FAE80D4">
      <w:start w:val="1"/>
      <w:numFmt w:val="lowerLetter"/>
      <w:lvlText w:val="%1)"/>
      <w:lvlJc w:val="left"/>
      <w:pPr>
        <w:ind w:left="778" w:hanging="360"/>
      </w:pPr>
    </w:lvl>
    <w:lvl w:ilvl="1" w:tplc="D7F8D390" w:tentative="1">
      <w:start w:val="1"/>
      <w:numFmt w:val="lowerLetter"/>
      <w:lvlText w:val="%2."/>
      <w:lvlJc w:val="left"/>
      <w:pPr>
        <w:ind w:left="1498" w:hanging="360"/>
      </w:pPr>
    </w:lvl>
    <w:lvl w:ilvl="2" w:tplc="F192FA3E" w:tentative="1">
      <w:start w:val="1"/>
      <w:numFmt w:val="lowerRoman"/>
      <w:lvlText w:val="%3."/>
      <w:lvlJc w:val="right"/>
      <w:pPr>
        <w:ind w:left="2218" w:hanging="180"/>
      </w:pPr>
    </w:lvl>
    <w:lvl w:ilvl="3" w:tplc="C1C2DC06" w:tentative="1">
      <w:start w:val="1"/>
      <w:numFmt w:val="decimal"/>
      <w:lvlText w:val="%4."/>
      <w:lvlJc w:val="left"/>
      <w:pPr>
        <w:ind w:left="2938" w:hanging="360"/>
      </w:pPr>
    </w:lvl>
    <w:lvl w:ilvl="4" w:tplc="61AC75F4" w:tentative="1">
      <w:start w:val="1"/>
      <w:numFmt w:val="lowerLetter"/>
      <w:lvlText w:val="%5."/>
      <w:lvlJc w:val="left"/>
      <w:pPr>
        <w:ind w:left="3658" w:hanging="360"/>
      </w:pPr>
    </w:lvl>
    <w:lvl w:ilvl="5" w:tplc="97AC4E6A" w:tentative="1">
      <w:start w:val="1"/>
      <w:numFmt w:val="lowerRoman"/>
      <w:lvlText w:val="%6."/>
      <w:lvlJc w:val="right"/>
      <w:pPr>
        <w:ind w:left="4378" w:hanging="180"/>
      </w:pPr>
    </w:lvl>
    <w:lvl w:ilvl="6" w:tplc="8DCE892E" w:tentative="1">
      <w:start w:val="1"/>
      <w:numFmt w:val="decimal"/>
      <w:lvlText w:val="%7."/>
      <w:lvlJc w:val="left"/>
      <w:pPr>
        <w:ind w:left="5098" w:hanging="360"/>
      </w:pPr>
    </w:lvl>
    <w:lvl w:ilvl="7" w:tplc="402685BE" w:tentative="1">
      <w:start w:val="1"/>
      <w:numFmt w:val="lowerLetter"/>
      <w:lvlText w:val="%8."/>
      <w:lvlJc w:val="left"/>
      <w:pPr>
        <w:ind w:left="5818" w:hanging="360"/>
      </w:pPr>
    </w:lvl>
    <w:lvl w:ilvl="8" w:tplc="438834D6" w:tentative="1">
      <w:start w:val="1"/>
      <w:numFmt w:val="lowerRoman"/>
      <w:lvlText w:val="%9."/>
      <w:lvlJc w:val="right"/>
      <w:pPr>
        <w:ind w:left="653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2F"/>
    <w:rsid w:val="00220566"/>
    <w:rsid w:val="00CC3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2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6205"/>
  </w:style>
  <w:style w:type="paragraph" w:styleId="Footer">
    <w:name w:val="footer"/>
    <w:basedOn w:val="Normal"/>
    <w:link w:val="FooterChar"/>
    <w:uiPriority w:val="99"/>
    <w:unhideWhenUsed/>
    <w:rsid w:val="00A162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6205"/>
  </w:style>
  <w:style w:type="table" w:styleId="TableGrid">
    <w:name w:val="Table Grid"/>
    <w:basedOn w:val="TableNormal"/>
    <w:uiPriority w:val="39"/>
    <w:rsid w:val="0051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2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6205"/>
  </w:style>
  <w:style w:type="paragraph" w:styleId="Footer">
    <w:name w:val="footer"/>
    <w:basedOn w:val="Normal"/>
    <w:link w:val="FooterChar"/>
    <w:uiPriority w:val="99"/>
    <w:unhideWhenUsed/>
    <w:rsid w:val="00A162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6205"/>
  </w:style>
  <w:style w:type="table" w:styleId="TableGrid">
    <w:name w:val="Table Grid"/>
    <w:basedOn w:val="TableNormal"/>
    <w:uiPriority w:val="39"/>
    <w:rsid w:val="0051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B45849EF0276F42A6CE70F2ACFEAEBB" ma:contentTypeVersion="0" ma:contentTypeDescription="Izveidot jaunu dokumentu." ma:contentTypeScope="" ma:versionID="1a72dbca0b086828b1abafeacfa4b341">
  <xsd:schema xmlns:xsd="http://www.w3.org/2001/XMLSchema" xmlns:xs="http://www.w3.org/2001/XMLSchema" xmlns:p="http://schemas.microsoft.com/office/2006/metadata/properties" targetNamespace="http://schemas.microsoft.com/office/2006/metadata/properties" ma:root="true" ma:fieldsID="ef6bef76b1948cc14eb045bdecfa38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B5AE7-B5D3-4913-A0E7-1CAA2DB59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2DEBC7-D56F-4823-A4C9-4B6CBCE04D8A}">
  <ds:schemaRefs>
    <ds:schemaRef ds:uri="http://schemas.microsoft.com/sharepoint/v3/contenttype/forms"/>
  </ds:schemaRefs>
</ds:datastoreItem>
</file>

<file path=customXml/itemProps3.xml><?xml version="1.0" encoding="utf-8"?>
<ds:datastoreItem xmlns:ds="http://schemas.openxmlformats.org/officeDocument/2006/customXml" ds:itemID="{FB5B92F3-969D-46A6-B521-F3301B5301BC}">
  <ds:schemaRef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3350</Words>
  <Characters>1911</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2019-02-13T07:39:00Z</dcterms:created>
  <dcterms:modified xsi:type="dcterms:W3CDTF">2019-02-13T07:39:00Z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0x010100EB45849EF0276F42A6CE70F2ACFEAEBB</vt:lpwstr>
  </property>
</Properties>
</file>