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5.0.0 -->
  <w:body>
    <w:p w:rsidR="00981EE7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FB9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3402"/>
      </w:tblGrid>
      <w:tr w:rsidTr="004567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23.11.2018.</w:t>
            </w:r>
          </w:p>
        </w:tc>
        <w:tc>
          <w:tcPr>
            <w:tcW w:w="3402" w:type="dxa"/>
          </w:tcPr>
          <w:p w:rsidR="00B12680" w:rsidRPr="00CD00D9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500300/2.5/2018/4267</w:t>
            </w:r>
          </w:p>
        </w:tc>
      </w:tr>
      <w:tr w:rsidTr="00456702">
        <w:tblPrEx>
          <w:tblW w:w="0" w:type="auto"/>
          <w:tblLayout w:type="fixed"/>
          <w:tblLook w:val="04A0"/>
        </w:tblPrEx>
        <w:tc>
          <w:tcPr>
            <w:tcW w:w="2235" w:type="dxa"/>
          </w:tcPr>
          <w:p w:rsidR="00B12680" w:rsidRPr="00CD00D9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</w:p>
        </w:tc>
        <w:tc>
          <w:tcPr>
            <w:tcW w:w="3402" w:type="dxa"/>
          </w:tcPr>
          <w:p w:rsidR="00B12680" w:rsidRPr="00CD00D9" w:rsidP="00B1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</w:p>
        </w:tc>
      </w:tr>
    </w:tbl>
    <w:p w:rsidR="001419F0" w:rsidRPr="00661266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Tr="000F7C06">
        <w:tblPrEx>
          <w:tblW w:w="4678" w:type="dxa"/>
          <w:tblInd w:w="39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8" w:type="dxa"/>
          </w:tcPr>
          <w:p w:rsidR="001419F0" w:rsidRPr="00661266" w:rsidP="001419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procedūru Nr. AST2018/94 "110kV transformatora TNr.2 nomaiņa un pārbūvētās 20kV sadalnes pieslēgšana apakšstacijā Nr.68 "Aizpute" un 110kV transformatora TNr.1 nomaiņa un elektroenerģijas komercuzskaites sakārtošana apakšstacijā Nr.60 "Grobiņa""</w:t>
      </w:r>
    </w:p>
    <w:p w:rsidR="00A96996" w:rsidP="00B137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BB" w:rsidRPr="00F30C1C" w:rsidP="00B137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Paziņojam, ka sarunu procedūrā</w:t>
      </w:r>
      <w:r w:rsidRPr="00F30C1C">
        <w:rPr>
          <w:rFonts w:ascii="Times New Roman" w:hAnsi="Times New Roman" w:cs="Times New Roman"/>
          <w:sz w:val="24"/>
          <w:szCs w:val="24"/>
        </w:rPr>
        <w:t xml:space="preserve"> Nr. AST2018/94 "110kV transformatora TNr.2 nomaiņa un pārbūvētās 20kV </w:t>
      </w:r>
      <w:r w:rsidRPr="00F30C1C">
        <w:rPr>
          <w:rFonts w:ascii="Times New Roman" w:hAnsi="Times New Roman" w:cs="Times New Roman"/>
          <w:sz w:val="24"/>
          <w:szCs w:val="24"/>
        </w:rPr>
        <w:t>sadalnes</w:t>
      </w:r>
      <w:r w:rsidRPr="00F30C1C">
        <w:rPr>
          <w:rFonts w:ascii="Times New Roman" w:hAnsi="Times New Roman" w:cs="Times New Roman"/>
          <w:sz w:val="24"/>
          <w:szCs w:val="24"/>
        </w:rPr>
        <w:t xml:space="preserve"> pieslēgšana apakšstacijā Nr.68 "Aizpute" un 110kV transformatora TNr.1 nomaiņa un elektroenerģijas </w:t>
      </w:r>
      <w:r w:rsidRPr="00F30C1C">
        <w:rPr>
          <w:rFonts w:ascii="Times New Roman" w:hAnsi="Times New Roman" w:cs="Times New Roman"/>
          <w:sz w:val="24"/>
          <w:szCs w:val="24"/>
        </w:rPr>
        <w:t>komercuzskaites</w:t>
      </w:r>
      <w:r w:rsidRPr="00F30C1C">
        <w:rPr>
          <w:rFonts w:ascii="Times New Roman" w:hAnsi="Times New Roman" w:cs="Times New Roman"/>
          <w:sz w:val="24"/>
          <w:szCs w:val="24"/>
        </w:rPr>
        <w:t xml:space="preserve"> sakārtošana apakšstacijā Nr.60 "Grobiņa""</w:t>
      </w:r>
      <w:r>
        <w:rPr>
          <w:rFonts w:ascii="Times New Roman" w:hAnsi="Times New Roman" w:cs="Times New Roman"/>
          <w:sz w:val="24"/>
          <w:szCs w:val="24"/>
        </w:rPr>
        <w:t xml:space="preserve"> par derīgu tiks atzīts arī piedāvājuma nodrošinājums, kas sagatavots</w:t>
      </w:r>
      <w:r w:rsidR="00A96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ievērojot sākotnēji </w:t>
      </w:r>
      <w:r w:rsidR="00A96996">
        <w:rPr>
          <w:rFonts w:ascii="Times New Roman" w:hAnsi="Times New Roman" w:cs="Times New Roman"/>
          <w:sz w:val="24"/>
          <w:szCs w:val="24"/>
        </w:rPr>
        <w:t xml:space="preserve">sarunu procedūras nolikumā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noteikto piedāvājumu iesniegšanas termiņu.</w:t>
      </w:r>
    </w:p>
    <w:p w:rsidR="00D413BB" w:rsidRPr="00F30C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7"/>
        <w:gridCol w:w="5182"/>
      </w:tblGrid>
      <w:tr w:rsidTr="00F94C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97" w:type="dxa"/>
          </w:tcPr>
          <w:p w:rsidR="005168A8" w:rsidRPr="00F3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loceklis</w:t>
            </w:r>
          </w:p>
        </w:tc>
        <w:tc>
          <w:tcPr>
            <w:tcW w:w="5182" w:type="dxa"/>
          </w:tcPr>
          <w:p w:rsidR="005168A8" w:rsidRPr="00F30C1C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Mārcis Kauliņš</w:t>
            </w:r>
          </w:p>
        </w:tc>
      </w:tr>
      <w:tr w:rsidTr="00F94C42">
        <w:tblPrEx>
          <w:tblW w:w="0" w:type="auto"/>
          <w:tblLook w:val="04A0"/>
        </w:tblPrEx>
        <w:tc>
          <w:tcPr>
            <w:tcW w:w="3297" w:type="dxa"/>
          </w:tcPr>
          <w:p w:rsidR="00F94C42" w:rsidRPr="00F3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>
      <w:pPr>
        <w:rPr>
          <w:rFonts w:ascii="Times New Roman" w:hAnsi="Times New Roman" w:cs="Times New Roman"/>
        </w:rPr>
      </w:pPr>
    </w:p>
    <w:p w:rsidR="00A27D87" w:rsidRPr="003F1098" w:rsidP="00A27D87">
      <w:pPr>
        <w:rPr>
          <w:rFonts w:ascii="Times New Roman" w:hAnsi="Times New Roman" w:cs="Times New Roman"/>
        </w:rPr>
      </w:pPr>
    </w:p>
    <w:p w:rsidR="00A27D87" w:rsidRPr="003F1098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Velbergs</w:t>
      </w:r>
      <w:r>
        <w:rPr>
          <w:rFonts w:ascii="Times New Roman" w:hAnsi="Times New Roman" w:cs="Times New Roman"/>
          <w:sz w:val="20"/>
          <w:szCs w:val="20"/>
        </w:rPr>
        <w:t xml:space="preserve"> 67725234</w:t>
      </w:r>
    </w:p>
    <w:sectPr w:rsidSect="00122FA1"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 w:rsidR="00B1374D"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P="00A16205">
    <w:pPr>
      <w:pStyle w:val="Footer"/>
      <w:jc w:val="cen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2DE5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A1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2018-04-26T07:32:00Z</dcterms:created>
  <dcterms:modified xsi:type="dcterms:W3CDTF">2018-11-22T07:08:00Z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